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6AD11" w14:textId="0F3F87A4" w:rsidR="00F70507" w:rsidRDefault="00F70507" w:rsidP="00C37E8C">
      <w:pPr>
        <w:spacing w:line="276" w:lineRule="auto"/>
        <w:jc w:val="center"/>
        <w:rPr>
          <w:b/>
        </w:rPr>
      </w:pPr>
      <w:r w:rsidRPr="009D2A0D">
        <w:rPr>
          <w:b/>
        </w:rPr>
        <w:t xml:space="preserve">Mandate of the </w:t>
      </w:r>
      <w:r w:rsidR="00135815" w:rsidRPr="00135815">
        <w:rPr>
          <w:b/>
        </w:rPr>
        <w:t>Special Rapporteur on the right to education</w:t>
      </w:r>
    </w:p>
    <w:p w14:paraId="76BE1B41" w14:textId="77777777" w:rsidR="00E86DAE" w:rsidRDefault="00E86DAE" w:rsidP="00C37E8C">
      <w:pPr>
        <w:spacing w:line="276" w:lineRule="auto"/>
        <w:jc w:val="center"/>
        <w:rPr>
          <w:rStyle w:val="normaltextrun"/>
          <w:rFonts w:asciiTheme="majorBidi" w:hAnsiTheme="majorBidi" w:cstheme="majorBidi"/>
          <w:b/>
          <w:bCs/>
          <w:color w:val="000000"/>
          <w:sz w:val="24"/>
          <w:szCs w:val="24"/>
          <w:shd w:val="clear" w:color="auto" w:fill="FFFFFF"/>
          <w:lang w:val="en-US"/>
        </w:rPr>
      </w:pPr>
    </w:p>
    <w:p w14:paraId="56413360" w14:textId="66E19280" w:rsidR="00E86DAE" w:rsidRDefault="00E86DAE" w:rsidP="00C37E8C">
      <w:pPr>
        <w:spacing w:line="276" w:lineRule="auto"/>
        <w:jc w:val="center"/>
        <w:rPr>
          <w:rStyle w:val="normaltextrun"/>
          <w:rFonts w:asciiTheme="majorBidi" w:hAnsiTheme="majorBidi" w:cstheme="majorBidi"/>
          <w:b/>
          <w:bCs/>
          <w:color w:val="000000"/>
          <w:sz w:val="24"/>
          <w:szCs w:val="24"/>
          <w:shd w:val="clear" w:color="auto" w:fill="FFFFFF"/>
          <w:lang w:val="en-US"/>
        </w:rPr>
      </w:pPr>
      <w:r w:rsidRPr="00430598">
        <w:rPr>
          <w:rStyle w:val="normaltextrun"/>
          <w:rFonts w:asciiTheme="majorBidi" w:hAnsiTheme="majorBidi" w:cstheme="majorBidi"/>
          <w:b/>
          <w:bCs/>
          <w:color w:val="000000"/>
          <w:sz w:val="24"/>
          <w:szCs w:val="24"/>
          <w:shd w:val="clear" w:color="auto" w:fill="FFFFFF"/>
          <w:lang w:val="en-US"/>
        </w:rPr>
        <w:t xml:space="preserve">CURRICULUM, PEDAGOGY AND ASSESSMENT </w:t>
      </w:r>
      <w:r>
        <w:rPr>
          <w:rStyle w:val="normaltextrun"/>
          <w:rFonts w:asciiTheme="majorBidi" w:hAnsiTheme="majorBidi" w:cstheme="majorBidi"/>
          <w:b/>
          <w:bCs/>
          <w:color w:val="000000"/>
          <w:sz w:val="24"/>
          <w:szCs w:val="24"/>
          <w:shd w:val="clear" w:color="auto" w:fill="FFFFFF"/>
          <w:lang w:val="en-US"/>
        </w:rPr>
        <w:t>AT THE SERVICE OF</w:t>
      </w:r>
      <w:r w:rsidRPr="00430598">
        <w:rPr>
          <w:rStyle w:val="normaltextrun"/>
          <w:rFonts w:asciiTheme="majorBidi" w:hAnsiTheme="majorBidi" w:cstheme="majorBidi"/>
          <w:b/>
          <w:bCs/>
          <w:color w:val="000000"/>
          <w:sz w:val="24"/>
          <w:szCs w:val="24"/>
          <w:shd w:val="clear" w:color="auto" w:fill="FFFFFF"/>
          <w:lang w:val="en-US"/>
        </w:rPr>
        <w:t xml:space="preserve"> THE RIGHT TO EDUCATION</w:t>
      </w:r>
    </w:p>
    <w:p w14:paraId="1E5CD925" w14:textId="77777777" w:rsidR="00E86DAE" w:rsidRPr="003858DE" w:rsidRDefault="00E86DAE" w:rsidP="00C37E8C">
      <w:pPr>
        <w:spacing w:line="276" w:lineRule="auto"/>
        <w:jc w:val="center"/>
        <w:rPr>
          <w:rStyle w:val="CommentReference"/>
          <w:rFonts w:asciiTheme="majorBidi" w:hAnsiTheme="majorBidi" w:cstheme="majorBidi"/>
          <w:b/>
          <w:caps/>
          <w:sz w:val="24"/>
          <w:szCs w:val="24"/>
          <w:lang w:val="en-US"/>
        </w:rPr>
      </w:pPr>
    </w:p>
    <w:p w14:paraId="6B03302A" w14:textId="77777777" w:rsidR="00E86DAE" w:rsidRDefault="00E86DAE" w:rsidP="00C37E8C">
      <w:pPr>
        <w:spacing w:line="276" w:lineRule="auto"/>
        <w:jc w:val="center"/>
        <w:rPr>
          <w:rStyle w:val="CommentReference"/>
          <w:rFonts w:asciiTheme="majorBidi" w:hAnsiTheme="majorBidi" w:cstheme="majorBidi"/>
          <w:b/>
          <w:caps/>
          <w:sz w:val="24"/>
          <w:szCs w:val="24"/>
          <w:lang w:val="en-US"/>
        </w:rPr>
      </w:pPr>
      <w:r w:rsidRPr="003858DE">
        <w:rPr>
          <w:rStyle w:val="CommentReference"/>
          <w:rFonts w:asciiTheme="majorBidi" w:hAnsiTheme="majorBidi" w:cstheme="majorBidi"/>
          <w:b/>
          <w:caps/>
          <w:sz w:val="24"/>
          <w:szCs w:val="24"/>
          <w:lang w:val="en-US"/>
        </w:rPr>
        <w:t>Call for CONTRIBUTIONs</w:t>
      </w:r>
    </w:p>
    <w:p w14:paraId="3884B5DA" w14:textId="77777777" w:rsidR="00E86DAE" w:rsidRDefault="00E86DAE" w:rsidP="00C37E8C">
      <w:pPr>
        <w:spacing w:line="276" w:lineRule="auto"/>
        <w:jc w:val="center"/>
        <w:rPr>
          <w:b/>
        </w:rPr>
      </w:pPr>
    </w:p>
    <w:p w14:paraId="30917398" w14:textId="5849A5AC" w:rsidR="00135815" w:rsidRPr="00053E2A" w:rsidRDefault="0051098E" w:rsidP="00C37E8C">
      <w:pPr>
        <w:spacing w:line="276" w:lineRule="auto"/>
        <w:ind w:firstLine="720"/>
        <w:jc w:val="right"/>
        <w:rPr>
          <w:rStyle w:val="CommentReference"/>
          <w:caps/>
          <w:sz w:val="24"/>
          <w:szCs w:val="24"/>
        </w:rPr>
      </w:pPr>
      <w:r>
        <w:rPr>
          <w:rStyle w:val="CommentReference"/>
          <w:caps/>
          <w:sz w:val="24"/>
          <w:szCs w:val="24"/>
        </w:rPr>
        <w:t>2</w:t>
      </w:r>
      <w:r w:rsidR="00C76D9C">
        <w:rPr>
          <w:rStyle w:val="CommentReference"/>
          <w:caps/>
          <w:sz w:val="24"/>
          <w:szCs w:val="24"/>
        </w:rPr>
        <w:t>5</w:t>
      </w:r>
      <w:r w:rsidR="00862952" w:rsidRPr="00862952">
        <w:rPr>
          <w:rStyle w:val="CommentReference"/>
          <w:caps/>
          <w:sz w:val="24"/>
          <w:szCs w:val="24"/>
        </w:rPr>
        <w:t xml:space="preserve"> </w:t>
      </w:r>
      <w:r w:rsidR="00862952" w:rsidRPr="00862952">
        <w:rPr>
          <w:rStyle w:val="CommentReference"/>
          <w:sz w:val="24"/>
          <w:szCs w:val="24"/>
        </w:rPr>
        <w:t xml:space="preserve">November </w:t>
      </w:r>
      <w:r w:rsidR="00135815" w:rsidRPr="00053E2A">
        <w:rPr>
          <w:rStyle w:val="CommentReference"/>
          <w:caps/>
          <w:sz w:val="24"/>
          <w:szCs w:val="24"/>
        </w:rPr>
        <w:t>202</w:t>
      </w:r>
      <w:r w:rsidR="00D96CB0">
        <w:rPr>
          <w:rStyle w:val="CommentReference"/>
          <w:caps/>
          <w:sz w:val="24"/>
          <w:szCs w:val="24"/>
        </w:rPr>
        <w:t>5</w:t>
      </w:r>
    </w:p>
    <w:p w14:paraId="6F9DA353" w14:textId="66FE2009" w:rsidR="00917D52" w:rsidRDefault="00917D52" w:rsidP="00C37E8C">
      <w:pPr>
        <w:tabs>
          <w:tab w:val="left" w:pos="426"/>
          <w:tab w:val="left" w:pos="851"/>
        </w:tabs>
        <w:autoSpaceDE w:val="0"/>
        <w:autoSpaceDN w:val="0"/>
        <w:adjustRightInd w:val="0"/>
        <w:spacing w:before="120" w:after="120" w:line="276" w:lineRule="auto"/>
        <w:ind w:firstLine="567"/>
        <w:jc w:val="both"/>
        <w:rPr>
          <w:rFonts w:asciiTheme="majorBidi" w:hAnsiTheme="majorBidi" w:cstheme="majorBidi"/>
          <w:sz w:val="24"/>
        </w:rPr>
      </w:pPr>
    </w:p>
    <w:tbl>
      <w:tblPr>
        <w:tblStyle w:val="TableGrid"/>
        <w:tblW w:w="0" w:type="auto"/>
        <w:tblLook w:val="04A0" w:firstRow="1" w:lastRow="0" w:firstColumn="1" w:lastColumn="0" w:noHBand="0" w:noVBand="1"/>
      </w:tblPr>
      <w:tblGrid>
        <w:gridCol w:w="4247"/>
        <w:gridCol w:w="4247"/>
      </w:tblGrid>
      <w:tr w:rsidR="00FA42C7" w:rsidRPr="00AC0C47" w14:paraId="388E832E" w14:textId="77777777" w:rsidTr="00C52B04">
        <w:tc>
          <w:tcPr>
            <w:tcW w:w="4247" w:type="dxa"/>
          </w:tcPr>
          <w:p w14:paraId="28D23B31" w14:textId="77777777" w:rsidR="00FA42C7" w:rsidRPr="00AC0C47" w:rsidRDefault="00FA42C7" w:rsidP="00C37E8C">
            <w:pPr>
              <w:spacing w:before="120" w:after="120" w:line="276" w:lineRule="auto"/>
              <w:jc w:val="both"/>
              <w:rPr>
                <w:sz w:val="22"/>
                <w:szCs w:val="22"/>
                <w:lang w:val="en-US"/>
              </w:rPr>
            </w:pPr>
            <w:r w:rsidRPr="00AC0C47">
              <w:rPr>
                <w:b/>
                <w:bCs/>
                <w:sz w:val="22"/>
                <w:szCs w:val="22"/>
                <w:lang w:val="en-US"/>
              </w:rPr>
              <w:t>Name of the country/entity submitting information</w:t>
            </w:r>
          </w:p>
        </w:tc>
        <w:tc>
          <w:tcPr>
            <w:tcW w:w="4247" w:type="dxa"/>
          </w:tcPr>
          <w:p w14:paraId="2435A1D7" w14:textId="58693719" w:rsidR="00FA42C7" w:rsidRPr="00AC0C47" w:rsidRDefault="00C37E8C" w:rsidP="00C37E8C">
            <w:pPr>
              <w:spacing w:before="120" w:after="120" w:line="276" w:lineRule="auto"/>
              <w:jc w:val="both"/>
              <w:rPr>
                <w:b/>
                <w:bCs/>
                <w:sz w:val="22"/>
                <w:szCs w:val="22"/>
                <w:lang w:val="en-US"/>
              </w:rPr>
            </w:pPr>
            <w:r>
              <w:rPr>
                <w:b/>
                <w:bCs/>
                <w:sz w:val="22"/>
                <w:szCs w:val="22"/>
                <w:lang w:val="en-US"/>
              </w:rPr>
              <w:t>Kinder Republic (Sri Lanka) / Rights-Centric Education Network</w:t>
            </w:r>
          </w:p>
        </w:tc>
      </w:tr>
    </w:tbl>
    <w:p w14:paraId="2FA9B3D5" w14:textId="7E89E65A" w:rsidR="0073113F" w:rsidRPr="00C37E8C" w:rsidRDefault="0073113F" w:rsidP="00C37E8C">
      <w:pPr>
        <w:spacing w:line="276" w:lineRule="auto"/>
        <w:rPr>
          <w:b/>
          <w:sz w:val="24"/>
          <w:szCs w:val="24"/>
          <w:lang w:val="en-US"/>
        </w:rPr>
      </w:pPr>
    </w:p>
    <w:p w14:paraId="1B3A9887" w14:textId="22010236" w:rsidR="00C37E8C" w:rsidRPr="00C37E8C" w:rsidRDefault="00C37E8C" w:rsidP="00C37E8C">
      <w:pPr>
        <w:spacing w:before="120" w:after="120" w:line="276" w:lineRule="auto"/>
        <w:rPr>
          <w:color w:val="000000"/>
          <w:sz w:val="24"/>
          <w:szCs w:val="24"/>
        </w:rPr>
      </w:pPr>
      <w:r>
        <w:rPr>
          <w:color w:val="000000"/>
          <w:sz w:val="24"/>
          <w:szCs w:val="24"/>
        </w:rPr>
        <w:t>This contribution is submitted by</w:t>
      </w:r>
      <w:r w:rsidRPr="00C37E8C">
        <w:rPr>
          <w:color w:val="000000"/>
          <w:sz w:val="24"/>
          <w:szCs w:val="24"/>
        </w:rPr>
        <w:t xml:space="preserve"> Kinder Republic, a democratic school in Sri Lanka.</w:t>
      </w:r>
    </w:p>
    <w:p w14:paraId="16795839" w14:textId="4C7AB9E6" w:rsidR="00C37E8C" w:rsidRDefault="00C37E8C" w:rsidP="00C37E8C">
      <w:pPr>
        <w:spacing w:before="120" w:after="120" w:line="276" w:lineRule="auto"/>
        <w:rPr>
          <w:color w:val="000000"/>
          <w:sz w:val="24"/>
          <w:szCs w:val="24"/>
        </w:rPr>
      </w:pPr>
      <w:r w:rsidRPr="00C37E8C">
        <w:rPr>
          <w:color w:val="000000"/>
          <w:sz w:val="24"/>
          <w:szCs w:val="24"/>
        </w:rPr>
        <w:t>Kinder Republic is a Member of the Rights-Centric Education Network (</w:t>
      </w:r>
      <w:hyperlink r:id="rId11" w:tooltip="https://rights-centric.education" w:history="1">
        <w:r w:rsidRPr="00C37E8C">
          <w:rPr>
            <w:rStyle w:val="Hyperlink"/>
            <w:color w:val="0078D7"/>
            <w:sz w:val="24"/>
            <w:szCs w:val="24"/>
          </w:rPr>
          <w:t>https://rights-centric.education</w:t>
        </w:r>
      </w:hyperlink>
      <w:r w:rsidRPr="00C37E8C">
        <w:rPr>
          <w:color w:val="000000"/>
          <w:sz w:val="24"/>
          <w:szCs w:val="24"/>
        </w:rPr>
        <w:t>), a community of practice advancing the protection and realisation of international Human Rights law (especially the UN Convention on the Rights of the Child)</w:t>
      </w:r>
      <w:r w:rsidRPr="00C37E8C">
        <w:rPr>
          <w:rStyle w:val="apple-converted-space"/>
          <w:color w:val="000000"/>
          <w:sz w:val="24"/>
          <w:szCs w:val="24"/>
        </w:rPr>
        <w:t> </w:t>
      </w:r>
      <w:r w:rsidRPr="00C37E8C">
        <w:rPr>
          <w:i/>
          <w:iCs/>
          <w:color w:val="000000"/>
          <w:sz w:val="24"/>
          <w:szCs w:val="24"/>
        </w:rPr>
        <w:t>for</w:t>
      </w:r>
      <w:r w:rsidRPr="00C37E8C">
        <w:rPr>
          <w:color w:val="000000"/>
          <w:sz w:val="24"/>
          <w:szCs w:val="24"/>
        </w:rPr>
        <w:t>,</w:t>
      </w:r>
      <w:r w:rsidRPr="00C37E8C">
        <w:rPr>
          <w:rStyle w:val="apple-converted-space"/>
          <w:color w:val="000000"/>
          <w:sz w:val="24"/>
          <w:szCs w:val="24"/>
        </w:rPr>
        <w:t> </w:t>
      </w:r>
      <w:r w:rsidRPr="00C37E8C">
        <w:rPr>
          <w:i/>
          <w:iCs/>
          <w:color w:val="000000"/>
          <w:sz w:val="24"/>
          <w:szCs w:val="24"/>
        </w:rPr>
        <w:t>in</w:t>
      </w:r>
      <w:r w:rsidRPr="00C37E8C">
        <w:rPr>
          <w:color w:val="000000"/>
          <w:sz w:val="24"/>
          <w:szCs w:val="24"/>
        </w:rPr>
        <w:t> and</w:t>
      </w:r>
      <w:r w:rsidRPr="00C37E8C">
        <w:rPr>
          <w:rStyle w:val="apple-converted-space"/>
          <w:color w:val="000000"/>
          <w:sz w:val="24"/>
          <w:szCs w:val="24"/>
        </w:rPr>
        <w:t> </w:t>
      </w:r>
      <w:r w:rsidRPr="00C37E8C">
        <w:rPr>
          <w:i/>
          <w:iCs/>
          <w:color w:val="000000"/>
          <w:sz w:val="24"/>
          <w:szCs w:val="24"/>
        </w:rPr>
        <w:t>through</w:t>
      </w:r>
      <w:r w:rsidRPr="00C37E8C">
        <w:rPr>
          <w:color w:val="000000"/>
          <w:sz w:val="24"/>
          <w:szCs w:val="24"/>
        </w:rPr>
        <w:t> education in all educational environments.</w:t>
      </w:r>
    </w:p>
    <w:p w14:paraId="226888C9" w14:textId="77777777" w:rsidR="00CA1718" w:rsidRDefault="00CA1718" w:rsidP="00C37E8C">
      <w:pPr>
        <w:spacing w:before="120" w:after="120" w:line="276" w:lineRule="auto"/>
        <w:rPr>
          <w:color w:val="000000"/>
          <w:sz w:val="24"/>
          <w:szCs w:val="24"/>
        </w:rPr>
      </w:pPr>
    </w:p>
    <w:p w14:paraId="72B382D8" w14:textId="77777777" w:rsidR="00CA1718" w:rsidRDefault="00CA1718" w:rsidP="00C37E8C">
      <w:pPr>
        <w:spacing w:before="120" w:after="120" w:line="276" w:lineRule="auto"/>
        <w:rPr>
          <w:color w:val="000000"/>
          <w:sz w:val="24"/>
          <w:szCs w:val="24"/>
        </w:rPr>
      </w:pPr>
      <w:r>
        <w:rPr>
          <w:color w:val="000000"/>
          <w:sz w:val="24"/>
          <w:szCs w:val="24"/>
        </w:rPr>
        <w:t>Note:</w:t>
      </w:r>
    </w:p>
    <w:p w14:paraId="6EF9B0BE" w14:textId="349AE8CF" w:rsidR="00C37E8C" w:rsidRDefault="00C37E8C" w:rsidP="00CA1718">
      <w:pPr>
        <w:pStyle w:val="ListParagraph"/>
        <w:numPr>
          <w:ilvl w:val="0"/>
          <w:numId w:val="45"/>
        </w:numPr>
        <w:spacing w:before="120" w:after="120" w:line="276" w:lineRule="auto"/>
        <w:rPr>
          <w:color w:val="000000"/>
          <w:sz w:val="24"/>
          <w:szCs w:val="24"/>
        </w:rPr>
      </w:pPr>
      <w:r w:rsidRPr="00CA1718">
        <w:rPr>
          <w:color w:val="000000"/>
          <w:sz w:val="24"/>
          <w:szCs w:val="24"/>
        </w:rPr>
        <w:t>While the contribution may refer to Sri Lanka from time to time, it is primarily intended as a broad observation.</w:t>
      </w:r>
    </w:p>
    <w:p w14:paraId="3E00D353" w14:textId="6C5CAE29" w:rsidR="00CA1718" w:rsidRPr="00CA1718" w:rsidRDefault="00CA1718" w:rsidP="00CA1718">
      <w:pPr>
        <w:pStyle w:val="ListParagraph"/>
        <w:numPr>
          <w:ilvl w:val="0"/>
          <w:numId w:val="45"/>
        </w:numPr>
        <w:spacing w:before="120" w:after="120" w:line="276" w:lineRule="auto"/>
        <w:rPr>
          <w:color w:val="000000"/>
          <w:sz w:val="24"/>
          <w:szCs w:val="24"/>
        </w:rPr>
      </w:pPr>
      <w:r>
        <w:rPr>
          <w:color w:val="000000"/>
          <w:sz w:val="24"/>
          <w:szCs w:val="24"/>
        </w:rPr>
        <w:t>As this contribution questions some of the fundamental assumptions of mainstream education, it was not possible to follow the question structure provided.</w:t>
      </w:r>
    </w:p>
    <w:p w14:paraId="590839FA" w14:textId="77777777" w:rsidR="00C37E8C" w:rsidRDefault="00C37E8C" w:rsidP="00C37E8C">
      <w:pPr>
        <w:pStyle w:val="ListParagraph"/>
        <w:spacing w:before="120" w:after="120" w:line="276" w:lineRule="auto"/>
        <w:ind w:left="0"/>
        <w:contextualSpacing w:val="0"/>
        <w:jc w:val="both"/>
        <w:rPr>
          <w:rFonts w:asciiTheme="majorBidi" w:hAnsiTheme="majorBidi" w:cstheme="majorBidi"/>
          <w:sz w:val="24"/>
          <w:szCs w:val="24"/>
          <w:lang w:val="en-US"/>
        </w:rPr>
      </w:pPr>
    </w:p>
    <w:p w14:paraId="2E80C26D" w14:textId="009E3EB8" w:rsidR="00C37E8C" w:rsidRDefault="00C37E8C" w:rsidP="00C37E8C">
      <w:pPr>
        <w:spacing w:line="276" w:lineRule="auto"/>
        <w:rPr>
          <w:rFonts w:asciiTheme="majorBidi" w:hAnsiTheme="majorBidi" w:cstheme="majorBidi"/>
          <w:sz w:val="24"/>
          <w:szCs w:val="24"/>
          <w:lang w:val="en-US"/>
        </w:rPr>
      </w:pPr>
      <w:r>
        <w:rPr>
          <w:rFonts w:asciiTheme="majorBidi" w:hAnsiTheme="majorBidi" w:cstheme="majorBidi"/>
          <w:sz w:val="24"/>
          <w:szCs w:val="24"/>
          <w:lang w:val="en-US"/>
        </w:rPr>
        <w:br w:type="page"/>
      </w:r>
    </w:p>
    <w:p w14:paraId="321B5919" w14:textId="77083E05" w:rsidR="00C37E8C" w:rsidRPr="00C37E8C" w:rsidRDefault="00C37E8C" w:rsidP="00C37E8C">
      <w:pPr>
        <w:pStyle w:val="ListParagraph"/>
        <w:numPr>
          <w:ilvl w:val="0"/>
          <w:numId w:val="37"/>
        </w:numPr>
        <w:spacing w:before="120" w:after="120" w:line="276" w:lineRule="auto"/>
        <w:contextualSpacing w:val="0"/>
        <w:jc w:val="both"/>
        <w:rPr>
          <w:rFonts w:asciiTheme="majorBidi" w:hAnsiTheme="majorBidi" w:cstheme="majorBidi"/>
          <w:b/>
          <w:bCs/>
          <w:sz w:val="24"/>
          <w:szCs w:val="24"/>
          <w:lang w:val="en-US"/>
        </w:rPr>
      </w:pPr>
      <w:r w:rsidRPr="00C37E8C">
        <w:rPr>
          <w:rFonts w:asciiTheme="majorBidi" w:hAnsiTheme="majorBidi" w:cstheme="majorBidi"/>
          <w:b/>
          <w:bCs/>
          <w:sz w:val="24"/>
          <w:szCs w:val="24"/>
          <w:lang w:val="en-US"/>
        </w:rPr>
        <w:lastRenderedPageBreak/>
        <w:t>What is “compulsory” in compulsory education?</w:t>
      </w:r>
    </w:p>
    <w:p w14:paraId="46F61D8C" w14:textId="6271D902" w:rsidR="00C37E8C" w:rsidRPr="00C37E8C" w:rsidRDefault="00C37E8C" w:rsidP="00C37E8C">
      <w:pPr>
        <w:spacing w:before="120" w:after="120" w:line="276" w:lineRule="auto"/>
        <w:jc w:val="both"/>
        <w:rPr>
          <w:rFonts w:asciiTheme="majorBidi" w:hAnsiTheme="majorBidi" w:cstheme="majorBidi"/>
          <w:sz w:val="24"/>
          <w:szCs w:val="24"/>
          <w:lang w:val="en-US"/>
        </w:rPr>
      </w:pPr>
      <w:r>
        <w:rPr>
          <w:rFonts w:asciiTheme="majorBidi" w:hAnsiTheme="majorBidi" w:cstheme="majorBidi"/>
          <w:sz w:val="24"/>
          <w:szCs w:val="24"/>
          <w:lang w:val="en-US"/>
        </w:rPr>
        <w:t>The reason why the right to education was defined as “compulsory” in the Universal Declaration of Human Rights</w:t>
      </w:r>
      <w:r w:rsidR="00CA1718">
        <w:rPr>
          <w:rStyle w:val="FootnoteReference"/>
          <w:rFonts w:asciiTheme="majorBidi" w:hAnsiTheme="majorBidi"/>
          <w:sz w:val="24"/>
          <w:szCs w:val="24"/>
          <w:lang w:val="en-US"/>
        </w:rPr>
        <w:footnoteReference w:id="2"/>
      </w:r>
      <w:r>
        <w:rPr>
          <w:rFonts w:asciiTheme="majorBidi" w:hAnsiTheme="majorBidi" w:cstheme="majorBidi"/>
          <w:sz w:val="24"/>
          <w:szCs w:val="24"/>
          <w:lang w:val="en-US"/>
        </w:rPr>
        <w:t xml:space="preserve"> was to </w:t>
      </w:r>
      <w:r w:rsidRPr="00C37E8C">
        <w:rPr>
          <w:rFonts w:asciiTheme="majorBidi" w:hAnsiTheme="majorBidi" w:cstheme="majorBidi"/>
          <w:i/>
          <w:iCs/>
          <w:sz w:val="24"/>
          <w:szCs w:val="24"/>
          <w:lang w:val="en-US"/>
        </w:rPr>
        <w:t xml:space="preserve">“help guarantee universal access to education and to ensure that no child is denied access due to either parental neglect or a lack of finance. Universal access was therefore the primary aim and the </w:t>
      </w:r>
      <w:proofErr w:type="gramStart"/>
      <w:r w:rsidRPr="00C37E8C">
        <w:rPr>
          <w:rFonts w:asciiTheme="majorBidi" w:hAnsiTheme="majorBidi" w:cstheme="majorBidi"/>
          <w:i/>
          <w:iCs/>
          <w:sz w:val="24"/>
          <w:szCs w:val="24"/>
          <w:lang w:val="en-US"/>
        </w:rPr>
        <w:t>ultimate goal</w:t>
      </w:r>
      <w:proofErr w:type="gramEnd"/>
      <w:r w:rsidRPr="00C37E8C">
        <w:rPr>
          <w:rFonts w:asciiTheme="majorBidi" w:hAnsiTheme="majorBidi" w:cstheme="majorBidi"/>
          <w:i/>
          <w:iCs/>
          <w:sz w:val="24"/>
          <w:szCs w:val="24"/>
          <w:lang w:val="en-US"/>
        </w:rPr>
        <w:t>. Furthermore, assurances were given that free and compulsory education was not meant to justify the state exercising a monopoly over education nor was it meant to restrict the right of parents to choose the kind of education which their children receive”</w:t>
      </w:r>
      <w:r>
        <w:rPr>
          <w:rStyle w:val="FootnoteReference"/>
          <w:rFonts w:asciiTheme="majorBidi" w:hAnsiTheme="majorBidi"/>
          <w:i/>
          <w:iCs/>
          <w:sz w:val="24"/>
          <w:szCs w:val="24"/>
          <w:lang w:val="en-US"/>
        </w:rPr>
        <w:footnoteReference w:id="3"/>
      </w:r>
    </w:p>
    <w:p w14:paraId="2C499C7E" w14:textId="07C29508" w:rsidR="00C37E8C" w:rsidRDefault="00C37E8C" w:rsidP="00C37E8C">
      <w:p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t xml:space="preserve">However, in contravention of this motivation, Sri Lanka (and many other countries) have legislation on </w:t>
      </w:r>
      <w:r w:rsidRPr="00C37E8C">
        <w:rPr>
          <w:rFonts w:asciiTheme="majorBidi" w:hAnsiTheme="majorBidi" w:cstheme="majorBidi"/>
          <w:i/>
          <w:iCs/>
          <w:sz w:val="24"/>
          <w:szCs w:val="24"/>
          <w:lang w:val="en-US"/>
        </w:rPr>
        <w:t>compulsory</w:t>
      </w:r>
      <w:r>
        <w:rPr>
          <w:rFonts w:asciiTheme="majorBidi" w:hAnsiTheme="majorBidi" w:cstheme="majorBidi"/>
          <w:sz w:val="24"/>
          <w:szCs w:val="24"/>
          <w:lang w:val="en-US"/>
        </w:rPr>
        <w:t xml:space="preserve"> </w:t>
      </w:r>
      <w:r w:rsidRPr="00C37E8C">
        <w:rPr>
          <w:rFonts w:asciiTheme="majorBidi" w:hAnsiTheme="majorBidi" w:cstheme="majorBidi"/>
          <w:i/>
          <w:iCs/>
          <w:sz w:val="24"/>
          <w:szCs w:val="24"/>
          <w:lang w:val="en-US"/>
        </w:rPr>
        <w:t>schooling</w:t>
      </w:r>
      <w:r>
        <w:rPr>
          <w:rFonts w:asciiTheme="majorBidi" w:hAnsiTheme="majorBidi" w:cstheme="majorBidi"/>
          <w:sz w:val="24"/>
          <w:szCs w:val="24"/>
          <w:lang w:val="en-US"/>
        </w:rPr>
        <w:t xml:space="preserve"> (as opposed to </w:t>
      </w:r>
      <w:r w:rsidRPr="00C37E8C">
        <w:rPr>
          <w:rFonts w:asciiTheme="majorBidi" w:hAnsiTheme="majorBidi" w:cstheme="majorBidi"/>
          <w:i/>
          <w:iCs/>
          <w:sz w:val="24"/>
          <w:szCs w:val="24"/>
          <w:lang w:val="en-US"/>
        </w:rPr>
        <w:t>compulsory education</w:t>
      </w:r>
      <w:r>
        <w:rPr>
          <w:rFonts w:asciiTheme="majorBidi" w:hAnsiTheme="majorBidi" w:cstheme="majorBidi"/>
          <w:sz w:val="24"/>
          <w:szCs w:val="24"/>
          <w:lang w:val="en-US"/>
        </w:rPr>
        <w:t>) that compels children to attend school even if the education provided does not meet their needs (because the curriculum is not aligned to their needs, or because the school is not well resourced, etc.), and even if the school environment is discriminatory (towards children from minority religions / ethnicities, children with disabilities, etc.) or violent (corporal punishment, bullying, etc.).</w:t>
      </w:r>
    </w:p>
    <w:p w14:paraId="421EA90E" w14:textId="77777777" w:rsidR="00C37E8C" w:rsidRDefault="00C37E8C" w:rsidP="00C37E8C">
      <w:pPr>
        <w:autoSpaceDE w:val="0"/>
        <w:autoSpaceDN w:val="0"/>
        <w:adjustRightInd w:val="0"/>
        <w:spacing w:line="276" w:lineRule="auto"/>
        <w:rPr>
          <w:rFonts w:asciiTheme="majorBidi" w:hAnsiTheme="majorBidi" w:cstheme="majorBidi"/>
          <w:sz w:val="24"/>
          <w:szCs w:val="24"/>
          <w:lang w:val="en-US"/>
        </w:rPr>
      </w:pPr>
    </w:p>
    <w:p w14:paraId="49D98E60" w14:textId="0C24A2D6" w:rsidR="00C37E8C" w:rsidRDefault="00C37E8C" w:rsidP="00C37E8C">
      <w:p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t>These compulsory schooling laws allow the state to intimidate children and parents into accepting, without objection, whatever provision</w:t>
      </w:r>
      <w:r>
        <w:rPr>
          <w:rStyle w:val="FootnoteReference"/>
          <w:rFonts w:asciiTheme="majorBidi" w:hAnsiTheme="majorBidi"/>
          <w:sz w:val="24"/>
          <w:szCs w:val="24"/>
          <w:lang w:val="en-US"/>
        </w:rPr>
        <w:footnoteReference w:id="4"/>
      </w:r>
      <w:r>
        <w:rPr>
          <w:rFonts w:asciiTheme="majorBidi" w:hAnsiTheme="majorBidi" w:cstheme="majorBidi"/>
          <w:sz w:val="24"/>
          <w:szCs w:val="24"/>
          <w:lang w:val="en-US"/>
        </w:rPr>
        <w:t xml:space="preserve"> the state chooses to provide. A responsive, rights-centric education, where children can freely exercise their Right to be Heard in their education, is not possible under such conditions of intimidation. </w:t>
      </w:r>
    </w:p>
    <w:p w14:paraId="33316EFD" w14:textId="77777777" w:rsidR="00C37E8C" w:rsidRDefault="00C37E8C" w:rsidP="00C37E8C">
      <w:pPr>
        <w:autoSpaceDE w:val="0"/>
        <w:autoSpaceDN w:val="0"/>
        <w:adjustRightInd w:val="0"/>
        <w:spacing w:line="276" w:lineRule="auto"/>
        <w:rPr>
          <w:rFonts w:asciiTheme="majorBidi" w:hAnsiTheme="majorBidi" w:cstheme="majorBidi"/>
          <w:sz w:val="24"/>
          <w:szCs w:val="24"/>
          <w:lang w:val="en-US"/>
        </w:rPr>
      </w:pPr>
    </w:p>
    <w:p w14:paraId="67414203" w14:textId="0F459D42" w:rsidR="00C37E8C" w:rsidRDefault="00C37E8C" w:rsidP="00C37E8C">
      <w:pPr>
        <w:autoSpaceDE w:val="0"/>
        <w:autoSpaceDN w:val="0"/>
        <w:adjustRightInd w:val="0"/>
        <w:spacing w:line="276" w:lineRule="auto"/>
        <w:rPr>
          <w:rFonts w:asciiTheme="majorBidi" w:hAnsiTheme="majorBidi" w:cstheme="majorBidi"/>
          <w:sz w:val="24"/>
          <w:szCs w:val="24"/>
        </w:rPr>
      </w:pPr>
      <w:r w:rsidRPr="00C37E8C">
        <w:rPr>
          <w:rFonts w:asciiTheme="majorBidi" w:hAnsiTheme="majorBidi" w:cstheme="majorBidi"/>
          <w:sz w:val="24"/>
          <w:szCs w:val="24"/>
        </w:rPr>
        <w:t xml:space="preserve">It is therefore necessary for states to recognise that their obligation with respect to compulsory education is not fulfilled merely through compulsory schooling legislation. High </w:t>
      </w:r>
      <w:proofErr w:type="spellStart"/>
      <w:r w:rsidRPr="00C37E8C">
        <w:rPr>
          <w:rFonts w:asciiTheme="majorBidi" w:hAnsiTheme="majorBidi" w:cstheme="majorBidi"/>
          <w:sz w:val="24"/>
          <w:szCs w:val="24"/>
        </w:rPr>
        <w:t>enrollment</w:t>
      </w:r>
      <w:proofErr w:type="spellEnd"/>
      <w:r w:rsidRPr="00C37E8C">
        <w:rPr>
          <w:rFonts w:asciiTheme="majorBidi" w:hAnsiTheme="majorBidi" w:cstheme="majorBidi"/>
          <w:sz w:val="24"/>
          <w:szCs w:val="24"/>
        </w:rPr>
        <w:t xml:space="preserve"> rates can be interpreted as an indicator of the quality and acceptability of educational provision only where attendance is not enforced through coercive measures, and where families have meaningful alternatives if state provision fails to meet minimum standards of safety, dignity, and relevance.</w:t>
      </w:r>
    </w:p>
    <w:p w14:paraId="7C634A11" w14:textId="77777777" w:rsidR="00CA1718" w:rsidRDefault="00CA1718">
      <w:pPr>
        <w:rPr>
          <w:rFonts w:asciiTheme="majorBidi" w:hAnsiTheme="majorBidi" w:cstheme="majorBidi"/>
          <w:sz w:val="24"/>
          <w:szCs w:val="24"/>
          <w:lang w:val="en-US"/>
        </w:rPr>
      </w:pPr>
    </w:p>
    <w:p w14:paraId="6A97A961" w14:textId="449AD3C7" w:rsidR="00C37E8C" w:rsidRDefault="00CA1718">
      <w:pPr>
        <w:rPr>
          <w:rFonts w:asciiTheme="majorBidi" w:hAnsiTheme="majorBidi" w:cstheme="majorBidi"/>
          <w:sz w:val="24"/>
          <w:szCs w:val="24"/>
          <w:lang w:val="en-US"/>
        </w:rPr>
      </w:pPr>
      <w:r>
        <w:rPr>
          <w:rFonts w:asciiTheme="majorBidi" w:hAnsiTheme="majorBidi" w:cstheme="majorBidi"/>
          <w:sz w:val="24"/>
          <w:szCs w:val="24"/>
          <w:lang w:val="en-US"/>
        </w:rPr>
        <w:t xml:space="preserve">Note: As there are circumstances where parents may exclude the child from school for reasons that are not in the best interest of the child (child </w:t>
      </w:r>
      <w:proofErr w:type="spellStart"/>
      <w:r>
        <w:rPr>
          <w:rFonts w:asciiTheme="majorBidi" w:hAnsiTheme="majorBidi" w:cstheme="majorBidi"/>
          <w:sz w:val="24"/>
          <w:szCs w:val="24"/>
          <w:lang w:val="en-US"/>
        </w:rPr>
        <w:t>labour</w:t>
      </w:r>
      <w:proofErr w:type="spellEnd"/>
      <w:r>
        <w:rPr>
          <w:rFonts w:asciiTheme="majorBidi" w:hAnsiTheme="majorBidi" w:cstheme="majorBidi"/>
          <w:sz w:val="24"/>
          <w:szCs w:val="24"/>
          <w:lang w:val="en-US"/>
        </w:rPr>
        <w:t>, child marriage, neglect, etc.) there will still need to be oversight for children who are not enrolled in school.</w:t>
      </w:r>
      <w:r w:rsidR="00C37E8C">
        <w:rPr>
          <w:rFonts w:asciiTheme="majorBidi" w:hAnsiTheme="majorBidi" w:cstheme="majorBidi"/>
          <w:sz w:val="24"/>
          <w:szCs w:val="24"/>
          <w:lang w:val="en-US"/>
        </w:rPr>
        <w:br w:type="page"/>
      </w:r>
    </w:p>
    <w:p w14:paraId="5994CAA7" w14:textId="20D01A8F" w:rsidR="00C37E8C" w:rsidRPr="00C37E8C" w:rsidRDefault="00C37E8C" w:rsidP="00C37E8C">
      <w:pPr>
        <w:pStyle w:val="ListParagraph"/>
        <w:numPr>
          <w:ilvl w:val="0"/>
          <w:numId w:val="37"/>
        </w:numPr>
        <w:autoSpaceDE w:val="0"/>
        <w:autoSpaceDN w:val="0"/>
        <w:adjustRightInd w:val="0"/>
        <w:spacing w:line="276" w:lineRule="auto"/>
        <w:rPr>
          <w:rFonts w:asciiTheme="majorBidi" w:hAnsiTheme="majorBidi" w:cstheme="majorBidi"/>
          <w:b/>
          <w:bCs/>
          <w:sz w:val="24"/>
          <w:szCs w:val="24"/>
          <w:lang w:val="en-US"/>
        </w:rPr>
      </w:pPr>
      <w:r w:rsidRPr="00C37E8C">
        <w:rPr>
          <w:rFonts w:asciiTheme="majorBidi" w:hAnsiTheme="majorBidi" w:cstheme="majorBidi"/>
          <w:b/>
          <w:bCs/>
          <w:sz w:val="24"/>
          <w:szCs w:val="24"/>
          <w:lang w:val="en-US"/>
        </w:rPr>
        <w:lastRenderedPageBreak/>
        <w:t>Curricula and assessment for general vs. specialized education</w:t>
      </w:r>
    </w:p>
    <w:p w14:paraId="1D16C5D2" w14:textId="1E2F846C" w:rsidR="00C37E8C" w:rsidRDefault="00C37E8C" w:rsidP="00C37E8C">
      <w:p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t>It is necessary to distinguish specialized education (usually tertiary) that leads to a specific license or qualification from general education (primary and secondary, some of which is “compulsory”).</w:t>
      </w:r>
    </w:p>
    <w:p w14:paraId="2AE0B1C1" w14:textId="77777777" w:rsidR="00C37E8C" w:rsidRDefault="00C37E8C" w:rsidP="00C37E8C">
      <w:pPr>
        <w:autoSpaceDE w:val="0"/>
        <w:autoSpaceDN w:val="0"/>
        <w:adjustRightInd w:val="0"/>
        <w:spacing w:line="276" w:lineRule="auto"/>
        <w:rPr>
          <w:rFonts w:asciiTheme="majorBidi" w:hAnsiTheme="majorBidi" w:cstheme="majorBidi"/>
          <w:sz w:val="24"/>
          <w:szCs w:val="24"/>
          <w:lang w:val="en-US"/>
        </w:rPr>
      </w:pPr>
    </w:p>
    <w:p w14:paraId="4743FCDE" w14:textId="44FCAD95" w:rsidR="00C37E8C" w:rsidRDefault="00C37E8C" w:rsidP="00C37E8C">
      <w:p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t xml:space="preserve">In the case of specialized education, there is a societal necessity to assess (and sometimes even re-assess after a period) competence against a standard, and this requires a specific curriculum that, at a minimum, addresses all the learning required to achieve that standard – otherwise, it would not be possible to trust doctors, electricians, engineers, cooks or drivers. A student who chooses to enroll in a particular program of study can be assumed to consent to the curriculum and assessment, because they also have the choice to not enroll in that </w:t>
      </w:r>
      <w:proofErr w:type="gramStart"/>
      <w:r>
        <w:rPr>
          <w:rFonts w:asciiTheme="majorBidi" w:hAnsiTheme="majorBidi" w:cstheme="majorBidi"/>
          <w:sz w:val="24"/>
          <w:szCs w:val="24"/>
          <w:lang w:val="en-US"/>
        </w:rPr>
        <w:t>particular program</w:t>
      </w:r>
      <w:proofErr w:type="gramEnd"/>
      <w:r>
        <w:rPr>
          <w:rFonts w:asciiTheme="majorBidi" w:hAnsiTheme="majorBidi" w:cstheme="majorBidi"/>
          <w:sz w:val="24"/>
          <w:szCs w:val="24"/>
          <w:lang w:val="en-US"/>
        </w:rPr>
        <w:t>.</w:t>
      </w:r>
    </w:p>
    <w:p w14:paraId="7300842D" w14:textId="77777777" w:rsidR="00C37E8C" w:rsidRDefault="00C37E8C" w:rsidP="00C37E8C">
      <w:pPr>
        <w:autoSpaceDE w:val="0"/>
        <w:autoSpaceDN w:val="0"/>
        <w:adjustRightInd w:val="0"/>
        <w:spacing w:line="276" w:lineRule="auto"/>
        <w:rPr>
          <w:rFonts w:asciiTheme="majorBidi" w:hAnsiTheme="majorBidi" w:cstheme="majorBidi"/>
          <w:sz w:val="24"/>
          <w:szCs w:val="24"/>
          <w:lang w:val="en-US"/>
        </w:rPr>
      </w:pPr>
    </w:p>
    <w:p w14:paraId="73878C56" w14:textId="12B7811B" w:rsidR="00C37E8C" w:rsidRDefault="00C37E8C" w:rsidP="00C37E8C">
      <w:p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t>With general/compulsory education,</w:t>
      </w:r>
    </w:p>
    <w:p w14:paraId="1B63EB83" w14:textId="7A916B81" w:rsidR="00C37E8C" w:rsidRDefault="00CA1718" w:rsidP="008C05A7">
      <w:pPr>
        <w:pStyle w:val="ListParagraph"/>
        <w:numPr>
          <w:ilvl w:val="0"/>
          <w:numId w:val="39"/>
        </w:numPr>
        <w:autoSpaceDE w:val="0"/>
        <w:autoSpaceDN w:val="0"/>
        <w:adjustRightInd w:val="0"/>
        <w:spacing w:line="276" w:lineRule="auto"/>
        <w:rPr>
          <w:rFonts w:asciiTheme="majorBidi" w:hAnsiTheme="majorBidi" w:cstheme="majorBidi"/>
          <w:sz w:val="24"/>
          <w:szCs w:val="24"/>
          <w:lang w:val="en-US"/>
        </w:rPr>
      </w:pPr>
      <w:r w:rsidRPr="00CA1718">
        <w:rPr>
          <w:rFonts w:asciiTheme="majorBidi" w:hAnsiTheme="majorBidi" w:cstheme="majorBidi"/>
          <w:sz w:val="24"/>
          <w:szCs w:val="24"/>
        </w:rPr>
        <w:t xml:space="preserve">There is no comparable societal necessity for standardized assessment in general education </w:t>
      </w:r>
      <w:r>
        <w:rPr>
          <w:rFonts w:asciiTheme="majorBidi" w:hAnsiTheme="majorBidi" w:cstheme="majorBidi"/>
          <w:sz w:val="24"/>
          <w:szCs w:val="24"/>
          <w:lang w:val="en-US"/>
        </w:rPr>
        <w:t>– for example, there is no practice of requiring someone to pass health &amp; nutrition to be able to cook food for themselves, or pass financial management to invest in the stock market, or to pass exercise science to work out in the gym (although, in all of these examples, the study may be helpful, and that should be the main motivation for people choosing to study them even if they do not need to prove to others that they have achieved a competence in them)</w:t>
      </w:r>
    </w:p>
    <w:p w14:paraId="20A9FECA" w14:textId="01D718AE" w:rsidR="00C37E8C" w:rsidRDefault="00C37E8C" w:rsidP="008C05A7">
      <w:pPr>
        <w:pStyle w:val="ListParagraph"/>
        <w:numPr>
          <w:ilvl w:val="0"/>
          <w:numId w:val="39"/>
        </w:num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t>It cannot be assumed that a student who enrolls in a public school is consenting to the national curriculum and system of assessment if that public-funded education is the only education they can afford.</w:t>
      </w:r>
    </w:p>
    <w:p w14:paraId="13992FFB" w14:textId="513C5D0F" w:rsidR="00C37E8C" w:rsidRDefault="00C37E8C" w:rsidP="00C37E8C">
      <w:pPr>
        <w:pStyle w:val="ListParagraph"/>
        <w:numPr>
          <w:ilvl w:val="0"/>
          <w:numId w:val="39"/>
        </w:numPr>
        <w:autoSpaceDE w:val="0"/>
        <w:autoSpaceDN w:val="0"/>
        <w:adjustRightInd w:val="0"/>
        <w:spacing w:line="276" w:lineRule="auto"/>
        <w:rPr>
          <w:rFonts w:asciiTheme="majorBidi" w:hAnsiTheme="majorBidi" w:cstheme="majorBidi"/>
          <w:sz w:val="24"/>
          <w:szCs w:val="24"/>
          <w:lang w:val="en-US"/>
        </w:rPr>
      </w:pPr>
      <w:r w:rsidRPr="00C37E8C">
        <w:rPr>
          <w:rFonts w:asciiTheme="majorBidi" w:hAnsiTheme="majorBidi" w:cstheme="majorBidi"/>
          <w:sz w:val="24"/>
          <w:szCs w:val="24"/>
          <w:lang w:val="en-US"/>
        </w:rPr>
        <w:t xml:space="preserve">In Sri Lanka, and presumably in many other countries, the key </w:t>
      </w:r>
      <w:r>
        <w:rPr>
          <w:rFonts w:asciiTheme="majorBidi" w:hAnsiTheme="majorBidi" w:cstheme="majorBidi"/>
          <w:sz w:val="24"/>
          <w:szCs w:val="24"/>
          <w:lang w:val="en-US"/>
        </w:rPr>
        <w:t>driver</w:t>
      </w:r>
      <w:r w:rsidRPr="00C37E8C">
        <w:rPr>
          <w:rFonts w:asciiTheme="majorBidi" w:hAnsiTheme="majorBidi" w:cstheme="majorBidi"/>
          <w:sz w:val="24"/>
          <w:szCs w:val="24"/>
          <w:lang w:val="en-US"/>
        </w:rPr>
        <w:t xml:space="preserve"> for standardized measures of educational attainment in schools</w:t>
      </w:r>
      <w:r>
        <w:rPr>
          <w:rFonts w:asciiTheme="majorBidi" w:hAnsiTheme="majorBidi" w:cstheme="majorBidi"/>
          <w:sz w:val="24"/>
          <w:szCs w:val="24"/>
          <w:lang w:val="en-US"/>
        </w:rPr>
        <w:t xml:space="preserve"> is to determine access to tertiary education (especially the more desirable areas of higher education). This makes a mockery of education:</w:t>
      </w:r>
    </w:p>
    <w:p w14:paraId="26FF6A99" w14:textId="56B1BE77" w:rsidR="00C37E8C" w:rsidRDefault="00C37E8C" w:rsidP="00C37E8C">
      <w:pPr>
        <w:pStyle w:val="ListParagraph"/>
        <w:numPr>
          <w:ilvl w:val="1"/>
          <w:numId w:val="39"/>
        </w:num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t xml:space="preserve">It makes curricula inflexible (because it </w:t>
      </w:r>
      <w:proofErr w:type="gramStart"/>
      <w:r>
        <w:rPr>
          <w:rFonts w:asciiTheme="majorBidi" w:hAnsiTheme="majorBidi" w:cstheme="majorBidi"/>
          <w:sz w:val="24"/>
          <w:szCs w:val="24"/>
          <w:lang w:val="en-US"/>
        </w:rPr>
        <w:t>has to</w:t>
      </w:r>
      <w:proofErr w:type="gramEnd"/>
      <w:r>
        <w:rPr>
          <w:rFonts w:asciiTheme="majorBidi" w:hAnsiTheme="majorBidi" w:cstheme="majorBidi"/>
          <w:sz w:val="24"/>
          <w:szCs w:val="24"/>
          <w:lang w:val="en-US"/>
        </w:rPr>
        <w:t xml:space="preserve"> be standardized to support standardized assessment) and narrow (because the standardization is expensive) </w:t>
      </w:r>
    </w:p>
    <w:p w14:paraId="0F03AD4D" w14:textId="4E36CA65" w:rsidR="00C37E8C" w:rsidRDefault="00C37E8C" w:rsidP="00C37E8C">
      <w:pPr>
        <w:pStyle w:val="ListParagraph"/>
        <w:numPr>
          <w:ilvl w:val="1"/>
          <w:numId w:val="39"/>
        </w:num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t>High-stakes examinations (in Sri Lanka and other countries where demand for higher education is far greater than supply) lead to anxiety/stress and poor mental health.</w:t>
      </w:r>
    </w:p>
    <w:p w14:paraId="0D13F9BD" w14:textId="72E67AD8" w:rsidR="00C37E8C" w:rsidRDefault="00C37E8C" w:rsidP="00C37E8C">
      <w:pPr>
        <w:pStyle w:val="ListParagraph"/>
        <w:numPr>
          <w:ilvl w:val="1"/>
          <w:numId w:val="39"/>
        </w:num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t>It encourages shallow learning and teaching-to-the-test</w:t>
      </w:r>
    </w:p>
    <w:p w14:paraId="5FC73FEA" w14:textId="69EDCE7F" w:rsidR="00C37E8C" w:rsidRDefault="00C37E8C" w:rsidP="00C37E8C">
      <w:pPr>
        <w:pStyle w:val="ListParagraph"/>
        <w:numPr>
          <w:ilvl w:val="1"/>
          <w:numId w:val="39"/>
        </w:num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t>It creates a shadow education industry running exam-prep classes, making access to higher education inequitable</w:t>
      </w:r>
      <w:r>
        <w:rPr>
          <w:rStyle w:val="FootnoteReference"/>
          <w:rFonts w:asciiTheme="majorBidi" w:hAnsiTheme="majorBidi"/>
          <w:sz w:val="24"/>
          <w:szCs w:val="24"/>
          <w:lang w:val="en-US"/>
        </w:rPr>
        <w:footnoteReference w:id="5"/>
      </w:r>
    </w:p>
    <w:p w14:paraId="6B75A31C" w14:textId="7C400CC6" w:rsidR="00C37E8C" w:rsidRDefault="00C37E8C" w:rsidP="00C37E8C">
      <w:pPr>
        <w:pStyle w:val="ListParagraph"/>
        <w:numPr>
          <w:ilvl w:val="1"/>
          <w:numId w:val="39"/>
        </w:numPr>
        <w:autoSpaceDE w:val="0"/>
        <w:autoSpaceDN w:val="0"/>
        <w:adjustRightInd w:val="0"/>
        <w:spacing w:line="276" w:lineRule="auto"/>
        <w:rPr>
          <w:rFonts w:asciiTheme="majorBidi" w:hAnsiTheme="majorBidi" w:cstheme="majorBidi"/>
          <w:sz w:val="24"/>
          <w:szCs w:val="24"/>
          <w:lang w:val="en-US"/>
        </w:rPr>
      </w:pPr>
      <w:r w:rsidRPr="00C37E8C">
        <w:rPr>
          <w:rFonts w:asciiTheme="majorBidi" w:hAnsiTheme="majorBidi" w:cstheme="majorBidi"/>
          <w:sz w:val="24"/>
          <w:szCs w:val="24"/>
          <w:lang w:val="en-US"/>
        </w:rPr>
        <w:t>The exam-prep classes also deprive children of opportunities to exercise their right to rest, leisure, play, recreational activities, cultural life and the arts.</w:t>
      </w:r>
      <w:r>
        <w:rPr>
          <w:rStyle w:val="FootnoteReference"/>
          <w:rFonts w:asciiTheme="majorBidi" w:hAnsiTheme="majorBidi"/>
          <w:sz w:val="24"/>
          <w:szCs w:val="24"/>
          <w:lang w:val="en-US"/>
        </w:rPr>
        <w:footnoteReference w:id="6"/>
      </w:r>
    </w:p>
    <w:p w14:paraId="5C90CAD1" w14:textId="77777777" w:rsidR="00C37E8C" w:rsidRDefault="00C37E8C" w:rsidP="00C37E8C">
      <w:pPr>
        <w:autoSpaceDE w:val="0"/>
        <w:autoSpaceDN w:val="0"/>
        <w:adjustRightInd w:val="0"/>
        <w:spacing w:line="276" w:lineRule="auto"/>
        <w:rPr>
          <w:rFonts w:asciiTheme="majorBidi" w:hAnsiTheme="majorBidi" w:cstheme="majorBidi"/>
          <w:sz w:val="24"/>
          <w:szCs w:val="24"/>
          <w:lang w:val="en-US"/>
        </w:rPr>
      </w:pPr>
    </w:p>
    <w:p w14:paraId="4652349B" w14:textId="062B2682" w:rsidR="00C37E8C" w:rsidRDefault="00C37E8C">
      <w:pPr>
        <w:rPr>
          <w:rFonts w:asciiTheme="majorBidi" w:hAnsiTheme="majorBidi" w:cstheme="majorBidi"/>
          <w:sz w:val="24"/>
          <w:szCs w:val="24"/>
          <w:lang w:val="en-US"/>
        </w:rPr>
      </w:pPr>
      <w:r>
        <w:rPr>
          <w:rFonts w:asciiTheme="majorBidi" w:hAnsiTheme="majorBidi" w:cstheme="majorBidi"/>
          <w:sz w:val="24"/>
          <w:szCs w:val="24"/>
          <w:lang w:val="en-US"/>
        </w:rPr>
        <w:br w:type="page"/>
      </w:r>
    </w:p>
    <w:p w14:paraId="0922A97D" w14:textId="4170217A" w:rsidR="00C37E8C" w:rsidRPr="00C37E8C" w:rsidRDefault="00C37E8C" w:rsidP="00C37E8C">
      <w:p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To address these issues, we believe the rights-holder must not be subject to assessment without their informed consent (as it is in healthcare). To illustrate a possible alternative, we suggest the following provocations. Of course these are only rough ideas, and will need further refinement, particularly to ensure equity is not worsened. </w:t>
      </w:r>
    </w:p>
    <w:p w14:paraId="3D4AEFC8" w14:textId="79EF2581" w:rsidR="00C37E8C" w:rsidRDefault="00C37E8C" w:rsidP="00C37E8C">
      <w:pPr>
        <w:pStyle w:val="ListParagraph"/>
        <w:numPr>
          <w:ilvl w:val="0"/>
          <w:numId w:val="40"/>
        </w:num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t>Standardized assessments continue to be offered (but are not compulsory</w:t>
      </w:r>
      <w:proofErr w:type="gramStart"/>
      <w:r>
        <w:rPr>
          <w:rFonts w:asciiTheme="majorBidi" w:hAnsiTheme="majorBidi" w:cstheme="majorBidi"/>
          <w:sz w:val="24"/>
          <w:szCs w:val="24"/>
          <w:lang w:val="en-US"/>
        </w:rPr>
        <w:t>), and</w:t>
      </w:r>
      <w:proofErr w:type="gramEnd"/>
      <w:r>
        <w:rPr>
          <w:rFonts w:asciiTheme="majorBidi" w:hAnsiTheme="majorBidi" w:cstheme="majorBidi"/>
          <w:sz w:val="24"/>
          <w:szCs w:val="24"/>
          <w:lang w:val="en-US"/>
        </w:rPr>
        <w:t xml:space="preserve"> only yield a Pass or Fail. There are no grades, and they are not used to sort or rank </w:t>
      </w:r>
      <w:proofErr w:type="gramStart"/>
      <w:r>
        <w:rPr>
          <w:rFonts w:asciiTheme="majorBidi" w:hAnsiTheme="majorBidi" w:cstheme="majorBidi"/>
          <w:sz w:val="24"/>
          <w:szCs w:val="24"/>
          <w:lang w:val="en-US"/>
        </w:rPr>
        <w:t>students, and</w:t>
      </w:r>
      <w:proofErr w:type="gramEnd"/>
      <w:r>
        <w:rPr>
          <w:rFonts w:asciiTheme="majorBidi" w:hAnsiTheme="majorBidi" w:cstheme="majorBidi"/>
          <w:sz w:val="24"/>
          <w:szCs w:val="24"/>
          <w:lang w:val="en-US"/>
        </w:rPr>
        <w:t xml:space="preserve"> hence are not competitive. Any entity (tertiary education, employers) who wishes to select students (beyond checking if they have passed the necessary pre-requisite subjects) will need to conduct their own assessments</w:t>
      </w:r>
    </w:p>
    <w:p w14:paraId="1DBA7EDC" w14:textId="7528878D" w:rsidR="00C37E8C" w:rsidRPr="00C37E8C" w:rsidRDefault="00C37E8C" w:rsidP="00C37E8C">
      <w:pPr>
        <w:pStyle w:val="ListParagraph"/>
        <w:numPr>
          <w:ilvl w:val="0"/>
          <w:numId w:val="40"/>
        </w:numPr>
        <w:autoSpaceDE w:val="0"/>
        <w:autoSpaceDN w:val="0"/>
        <w:adjustRightInd w:val="0"/>
        <w:spacing w:line="276" w:lineRule="auto"/>
        <w:rPr>
          <w:rFonts w:asciiTheme="majorBidi" w:hAnsiTheme="majorBidi" w:cstheme="majorBidi"/>
          <w:sz w:val="24"/>
          <w:szCs w:val="24"/>
          <w:lang w:val="en-US"/>
        </w:rPr>
      </w:pPr>
      <w:r w:rsidRPr="00C37E8C">
        <w:rPr>
          <w:rFonts w:asciiTheme="majorBidi" w:hAnsiTheme="majorBidi" w:cstheme="majorBidi"/>
          <w:sz w:val="24"/>
          <w:szCs w:val="24"/>
          <w:lang w:val="en-US"/>
        </w:rPr>
        <w:t>Students are provided support</w:t>
      </w:r>
      <w:r>
        <w:rPr>
          <w:rStyle w:val="FootnoteReference"/>
          <w:rFonts w:asciiTheme="majorBidi" w:hAnsiTheme="majorBidi"/>
          <w:sz w:val="24"/>
          <w:szCs w:val="24"/>
          <w:lang w:val="en-US"/>
        </w:rPr>
        <w:footnoteReference w:id="7"/>
      </w:r>
      <w:r w:rsidRPr="00C37E8C">
        <w:rPr>
          <w:rFonts w:asciiTheme="majorBidi" w:hAnsiTheme="majorBidi" w:cstheme="majorBidi"/>
          <w:sz w:val="24"/>
          <w:szCs w:val="24"/>
          <w:lang w:val="en-US"/>
        </w:rPr>
        <w:t xml:space="preserve"> to build a portfolio of their work – the nature of the portfolio would depend on their future aspirations, and in the case of students wishing to pursue higher education, would include the standardized assessments. </w:t>
      </w:r>
      <w:r>
        <w:rPr>
          <w:rFonts w:asciiTheme="majorBidi" w:hAnsiTheme="majorBidi" w:cstheme="majorBidi"/>
          <w:sz w:val="24"/>
          <w:szCs w:val="24"/>
          <w:lang w:val="en-US"/>
        </w:rPr>
        <w:t>These portfolios would include evidence of competencies (such as interpersonal skills, creativity, teamwork, etc.) that are not possible to assess via standardized assessments (and need not be standardized)</w:t>
      </w:r>
    </w:p>
    <w:p w14:paraId="7F658EEE" w14:textId="306FF042" w:rsidR="00C37E8C" w:rsidRDefault="00C37E8C" w:rsidP="00C37E8C">
      <w:pPr>
        <w:pStyle w:val="ListParagraph"/>
        <w:numPr>
          <w:ilvl w:val="0"/>
          <w:numId w:val="40"/>
        </w:num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t xml:space="preserve">Formative Assessment would be replaced with Feedback. There would be multiple avenues to receive Feedback (from educators in or outside school, and/or peers) based on student preferences. As this is Feedback, there would not be any grades awarded, and thus there would not be any incentive to cheat or for </w:t>
      </w:r>
      <w:proofErr w:type="spellStart"/>
      <w:r>
        <w:rPr>
          <w:rFonts w:asciiTheme="majorBidi" w:hAnsiTheme="majorBidi" w:cstheme="majorBidi"/>
          <w:sz w:val="24"/>
          <w:szCs w:val="24"/>
          <w:lang w:val="en-US"/>
        </w:rPr>
        <w:t>favouritism</w:t>
      </w:r>
      <w:proofErr w:type="spellEnd"/>
      <w:r>
        <w:rPr>
          <w:rFonts w:asciiTheme="majorBidi" w:hAnsiTheme="majorBidi" w:cstheme="majorBidi"/>
          <w:sz w:val="24"/>
          <w:szCs w:val="24"/>
          <w:lang w:val="en-US"/>
        </w:rPr>
        <w:t xml:space="preserve"> – as that would only result in the feedback being invalid. The feedback would be </w:t>
      </w:r>
      <w:proofErr w:type="gramStart"/>
      <w:r>
        <w:rPr>
          <w:rFonts w:asciiTheme="majorBidi" w:hAnsiTheme="majorBidi" w:cstheme="majorBidi"/>
          <w:sz w:val="24"/>
          <w:szCs w:val="24"/>
          <w:lang w:val="en-US"/>
        </w:rPr>
        <w:t>confidential, and</w:t>
      </w:r>
      <w:proofErr w:type="gramEnd"/>
      <w:r>
        <w:rPr>
          <w:rFonts w:asciiTheme="majorBidi" w:hAnsiTheme="majorBidi" w:cstheme="majorBidi"/>
          <w:sz w:val="24"/>
          <w:szCs w:val="24"/>
          <w:lang w:val="en-US"/>
        </w:rPr>
        <w:t xml:space="preserve"> used by the school only for the purposes of offering additional support to children who require and request it.</w:t>
      </w:r>
    </w:p>
    <w:p w14:paraId="27005921" w14:textId="2AA6F95E" w:rsidR="00C37E8C" w:rsidRDefault="00C37E8C" w:rsidP="00C37E8C">
      <w:pPr>
        <w:pStyle w:val="ListParagraph"/>
        <w:numPr>
          <w:ilvl w:val="0"/>
          <w:numId w:val="40"/>
        </w:num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t>The elimination of grading and ranking also protects students from the indignity of being seen as failures</w:t>
      </w:r>
    </w:p>
    <w:p w14:paraId="5ED486D6" w14:textId="3C02D809" w:rsidR="00CC3E54" w:rsidRDefault="00C37E8C" w:rsidP="00CC3E54">
      <w:pPr>
        <w:pStyle w:val="ListParagraph"/>
        <w:numPr>
          <w:ilvl w:val="0"/>
          <w:numId w:val="40"/>
        </w:numPr>
        <w:autoSpaceDE w:val="0"/>
        <w:autoSpaceDN w:val="0"/>
        <w:adjustRightInd w:val="0"/>
        <w:spacing w:line="276" w:lineRule="auto"/>
        <w:rPr>
          <w:rFonts w:asciiTheme="majorBidi" w:hAnsiTheme="majorBidi" w:cstheme="majorBidi"/>
          <w:sz w:val="24"/>
          <w:szCs w:val="24"/>
          <w:lang w:val="en-US"/>
        </w:rPr>
      </w:pPr>
      <w:r w:rsidRPr="00C37E8C">
        <w:rPr>
          <w:rFonts w:asciiTheme="majorBidi" w:hAnsiTheme="majorBidi" w:cstheme="majorBidi"/>
          <w:sz w:val="24"/>
          <w:szCs w:val="24"/>
          <w:lang w:val="en-US"/>
        </w:rPr>
        <w:t>Without the restriction of standardized assessments, curricula choices can be very responsive. If students in a school express interest in a topic</w:t>
      </w:r>
      <w:r>
        <w:rPr>
          <w:rStyle w:val="FootnoteReference"/>
          <w:rFonts w:asciiTheme="majorBidi" w:hAnsiTheme="majorBidi"/>
          <w:sz w:val="24"/>
          <w:szCs w:val="24"/>
          <w:lang w:val="en-US"/>
        </w:rPr>
        <w:footnoteReference w:id="8"/>
      </w:r>
      <w:r w:rsidRPr="00C37E8C">
        <w:rPr>
          <w:rFonts w:asciiTheme="majorBidi" w:hAnsiTheme="majorBidi" w:cstheme="majorBidi"/>
          <w:sz w:val="24"/>
          <w:szCs w:val="24"/>
          <w:lang w:val="en-US"/>
        </w:rPr>
        <w:t>, and if the school has the resources to support it (assuming the students required support), the school can directly engage in it without waiting for ministry approval, standardized curriculum, textbooks or teacher training. Funding would need to be channeled towards supporting popular requests, but this can be done very rapidly rather than waiting for the next curriculum revision cycle (that would only apply for the curricular content for the standardized assessment).</w:t>
      </w:r>
    </w:p>
    <w:p w14:paraId="4F32F665" w14:textId="77777777" w:rsidR="00CA1718" w:rsidRDefault="00CA1718" w:rsidP="00CA1718">
      <w:pPr>
        <w:autoSpaceDE w:val="0"/>
        <w:autoSpaceDN w:val="0"/>
        <w:adjustRightInd w:val="0"/>
        <w:spacing w:line="276" w:lineRule="auto"/>
        <w:rPr>
          <w:rFonts w:asciiTheme="majorBidi" w:hAnsiTheme="majorBidi" w:cstheme="majorBidi"/>
          <w:sz w:val="24"/>
          <w:szCs w:val="24"/>
          <w:lang w:val="en-US"/>
        </w:rPr>
      </w:pPr>
    </w:p>
    <w:p w14:paraId="46D9D4D0" w14:textId="2DC61A09" w:rsidR="00CA1718" w:rsidRDefault="00CA1718">
      <w:pPr>
        <w:rPr>
          <w:rFonts w:asciiTheme="majorBidi" w:hAnsiTheme="majorBidi" w:cstheme="majorBidi"/>
          <w:sz w:val="24"/>
          <w:szCs w:val="24"/>
          <w:lang w:val="en-US"/>
        </w:rPr>
      </w:pPr>
      <w:r>
        <w:rPr>
          <w:rFonts w:asciiTheme="majorBidi" w:hAnsiTheme="majorBidi" w:cstheme="majorBidi"/>
          <w:sz w:val="24"/>
          <w:szCs w:val="24"/>
          <w:lang w:val="en-US"/>
        </w:rPr>
        <w:br w:type="page"/>
      </w:r>
    </w:p>
    <w:p w14:paraId="232BCD79" w14:textId="12A85372" w:rsidR="00CA1718" w:rsidRPr="00CA1718" w:rsidRDefault="00CA1718" w:rsidP="00CA1718">
      <w:pPr>
        <w:pStyle w:val="ListParagraph"/>
        <w:numPr>
          <w:ilvl w:val="0"/>
          <w:numId w:val="37"/>
        </w:numPr>
        <w:autoSpaceDE w:val="0"/>
        <w:autoSpaceDN w:val="0"/>
        <w:adjustRightInd w:val="0"/>
        <w:spacing w:line="276" w:lineRule="auto"/>
        <w:rPr>
          <w:rFonts w:asciiTheme="majorBidi" w:hAnsiTheme="majorBidi" w:cstheme="majorBidi"/>
          <w:b/>
          <w:bCs/>
          <w:sz w:val="24"/>
          <w:szCs w:val="24"/>
          <w:lang w:val="en-US"/>
        </w:rPr>
      </w:pPr>
      <w:r>
        <w:rPr>
          <w:rFonts w:asciiTheme="majorBidi" w:hAnsiTheme="majorBidi" w:cstheme="majorBidi"/>
          <w:b/>
          <w:bCs/>
          <w:sz w:val="24"/>
          <w:szCs w:val="24"/>
          <w:lang w:val="en-US"/>
        </w:rPr>
        <w:lastRenderedPageBreak/>
        <w:t>Consent for Pedagogy</w:t>
      </w:r>
    </w:p>
    <w:p w14:paraId="3E9A5330" w14:textId="77777777" w:rsidR="00CA1718" w:rsidRDefault="00CA1718" w:rsidP="00CA1718">
      <w:p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t>Extending the consent argument to pedagogy, a necessary (even if not sufficient) condition to know that a child consents to a particular pedagogical approach is if the child has the option to decline. The simplest implementation of this is that instruction is offered, and children choose whether they wish to attend. This is the approach of Summerhill (England).</w:t>
      </w:r>
    </w:p>
    <w:p w14:paraId="6CB4A39C" w14:textId="77777777" w:rsidR="00CA1718" w:rsidRDefault="00CA1718" w:rsidP="00CA1718">
      <w:pPr>
        <w:autoSpaceDE w:val="0"/>
        <w:autoSpaceDN w:val="0"/>
        <w:adjustRightInd w:val="0"/>
        <w:spacing w:line="276" w:lineRule="auto"/>
        <w:rPr>
          <w:rFonts w:asciiTheme="majorBidi" w:hAnsiTheme="majorBidi" w:cstheme="majorBidi"/>
          <w:sz w:val="24"/>
          <w:szCs w:val="24"/>
          <w:lang w:val="en-US"/>
        </w:rPr>
      </w:pPr>
    </w:p>
    <w:p w14:paraId="0CC62418" w14:textId="77777777" w:rsidR="00CA1718" w:rsidRDefault="00CA1718" w:rsidP="00CA1718">
      <w:p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t>A stronger case for consent can be made if there are a variety of pedagogical supports offered – for example,</w:t>
      </w:r>
    </w:p>
    <w:p w14:paraId="3B1CF7A9" w14:textId="77777777" w:rsidR="00CA1718" w:rsidRDefault="00CA1718" w:rsidP="00CA1718">
      <w:pPr>
        <w:pStyle w:val="ListParagraph"/>
        <w:numPr>
          <w:ilvl w:val="0"/>
          <w:numId w:val="47"/>
        </w:numPr>
        <w:autoSpaceDE w:val="0"/>
        <w:autoSpaceDN w:val="0"/>
        <w:adjustRightInd w:val="0"/>
        <w:spacing w:line="276" w:lineRule="auto"/>
        <w:rPr>
          <w:rFonts w:asciiTheme="majorBidi" w:hAnsiTheme="majorBidi" w:cstheme="majorBidi"/>
          <w:sz w:val="24"/>
          <w:szCs w:val="24"/>
          <w:lang w:val="en-US"/>
        </w:rPr>
      </w:pPr>
      <w:r w:rsidRPr="00CA1718">
        <w:rPr>
          <w:rFonts w:asciiTheme="majorBidi" w:hAnsiTheme="majorBidi" w:cstheme="majorBidi"/>
          <w:sz w:val="24"/>
          <w:szCs w:val="24"/>
          <w:lang w:val="en-US"/>
        </w:rPr>
        <w:t>where direct instruction is offered to those who wish it,</w:t>
      </w:r>
    </w:p>
    <w:p w14:paraId="2F911C3E" w14:textId="77777777" w:rsidR="00CA1718" w:rsidRDefault="00CA1718" w:rsidP="00CA1718">
      <w:pPr>
        <w:pStyle w:val="ListParagraph"/>
        <w:numPr>
          <w:ilvl w:val="0"/>
          <w:numId w:val="47"/>
        </w:numPr>
        <w:autoSpaceDE w:val="0"/>
        <w:autoSpaceDN w:val="0"/>
        <w:adjustRightInd w:val="0"/>
        <w:spacing w:line="276" w:lineRule="auto"/>
        <w:rPr>
          <w:rFonts w:asciiTheme="majorBidi" w:hAnsiTheme="majorBidi" w:cstheme="majorBidi"/>
          <w:sz w:val="24"/>
          <w:szCs w:val="24"/>
          <w:lang w:val="en-US"/>
        </w:rPr>
      </w:pPr>
      <w:r w:rsidRPr="00CA1718">
        <w:rPr>
          <w:rFonts w:asciiTheme="majorBidi" w:hAnsiTheme="majorBidi" w:cstheme="majorBidi"/>
          <w:sz w:val="24"/>
          <w:szCs w:val="24"/>
          <w:lang w:val="en-US"/>
        </w:rPr>
        <w:t>Q&amp;A time is offered for those who wish it (regardless of whether they acquired the foundation content by direct instruction or otherwise),</w:t>
      </w:r>
    </w:p>
    <w:p w14:paraId="6A825F2C" w14:textId="447F5463" w:rsidR="00CA1718" w:rsidRDefault="00CA1718" w:rsidP="00CA1718">
      <w:pPr>
        <w:pStyle w:val="ListParagraph"/>
        <w:numPr>
          <w:ilvl w:val="0"/>
          <w:numId w:val="47"/>
        </w:numPr>
        <w:autoSpaceDE w:val="0"/>
        <w:autoSpaceDN w:val="0"/>
        <w:adjustRightInd w:val="0"/>
        <w:spacing w:line="276" w:lineRule="auto"/>
        <w:rPr>
          <w:rFonts w:asciiTheme="majorBidi" w:hAnsiTheme="majorBidi" w:cstheme="majorBidi"/>
          <w:sz w:val="24"/>
          <w:szCs w:val="24"/>
          <w:lang w:val="en-US"/>
        </w:rPr>
      </w:pPr>
      <w:r w:rsidRPr="00CA1718">
        <w:rPr>
          <w:rFonts w:asciiTheme="majorBidi" w:hAnsiTheme="majorBidi" w:cstheme="majorBidi"/>
          <w:sz w:val="24"/>
          <w:szCs w:val="24"/>
          <w:lang w:val="en-US"/>
        </w:rPr>
        <w:t>self/group study materials (books, videos</w:t>
      </w:r>
      <w:r>
        <w:rPr>
          <w:rFonts w:asciiTheme="majorBidi" w:hAnsiTheme="majorBidi" w:cstheme="majorBidi"/>
          <w:sz w:val="24"/>
          <w:szCs w:val="24"/>
          <w:lang w:val="en-US"/>
        </w:rPr>
        <w:t xml:space="preserve"> (including recordings of instruction)</w:t>
      </w:r>
      <w:r w:rsidRPr="00CA1718">
        <w:rPr>
          <w:rFonts w:asciiTheme="majorBidi" w:hAnsiTheme="majorBidi" w:cstheme="majorBidi"/>
          <w:sz w:val="24"/>
          <w:szCs w:val="24"/>
          <w:lang w:val="en-US"/>
        </w:rPr>
        <w:t>, apps) are made available,</w:t>
      </w:r>
    </w:p>
    <w:p w14:paraId="508CD9B3" w14:textId="1A7A8D10" w:rsidR="00CA1718" w:rsidRPr="00CA1718" w:rsidRDefault="00CA1718" w:rsidP="00CA1718">
      <w:pPr>
        <w:pStyle w:val="ListParagraph"/>
        <w:numPr>
          <w:ilvl w:val="0"/>
          <w:numId w:val="47"/>
        </w:numPr>
        <w:autoSpaceDE w:val="0"/>
        <w:autoSpaceDN w:val="0"/>
        <w:adjustRightInd w:val="0"/>
        <w:spacing w:line="276" w:lineRule="auto"/>
        <w:rPr>
          <w:rFonts w:asciiTheme="majorBidi" w:hAnsiTheme="majorBidi" w:cstheme="majorBidi"/>
          <w:sz w:val="24"/>
          <w:szCs w:val="24"/>
          <w:lang w:val="en-US"/>
        </w:rPr>
      </w:pPr>
      <w:r w:rsidRPr="00CA1718">
        <w:rPr>
          <w:rFonts w:asciiTheme="majorBidi" w:hAnsiTheme="majorBidi" w:cstheme="majorBidi"/>
          <w:sz w:val="24"/>
          <w:szCs w:val="24"/>
          <w:lang w:val="en-US"/>
        </w:rPr>
        <w:t>opportunities for group work (such as space, time, encouragement), including where students who have already mastered the content can teach/coach/guide other students are provided.</w:t>
      </w:r>
    </w:p>
    <w:p w14:paraId="7C3BC6B7" w14:textId="77777777" w:rsidR="00CA1718" w:rsidRDefault="00CA1718" w:rsidP="00CA1718">
      <w:pPr>
        <w:autoSpaceDE w:val="0"/>
        <w:autoSpaceDN w:val="0"/>
        <w:adjustRightInd w:val="0"/>
        <w:spacing w:line="276" w:lineRule="auto"/>
        <w:rPr>
          <w:rFonts w:asciiTheme="majorBidi" w:hAnsiTheme="majorBidi" w:cstheme="majorBidi"/>
          <w:sz w:val="24"/>
          <w:szCs w:val="24"/>
          <w:lang w:val="en-US"/>
        </w:rPr>
      </w:pPr>
    </w:p>
    <w:p w14:paraId="23E1A962" w14:textId="6740453D" w:rsidR="00CA1718" w:rsidRPr="00CA1718" w:rsidRDefault="00CA1718" w:rsidP="00CA1718">
      <w:pPr>
        <w:autoSpaceDE w:val="0"/>
        <w:autoSpaceDN w:val="0"/>
        <w:adjustRightInd w:val="0"/>
        <w:spacing w:line="276" w:lineRule="auto"/>
        <w:rPr>
          <w:rFonts w:asciiTheme="majorBidi" w:hAnsiTheme="majorBidi" w:cstheme="majorBidi"/>
          <w:sz w:val="24"/>
          <w:szCs w:val="24"/>
          <w:lang w:val="en-US"/>
        </w:rPr>
      </w:pPr>
      <w:r>
        <w:rPr>
          <w:rFonts w:asciiTheme="majorBidi" w:hAnsiTheme="majorBidi" w:cstheme="majorBidi"/>
          <w:sz w:val="24"/>
          <w:szCs w:val="24"/>
          <w:lang w:val="en-US"/>
        </w:rPr>
        <w:t xml:space="preserve">It is only in an environment where this consent is assured that a child’s Right to be Heard can be meaningfully exercised in decisions relating to pedagogy. </w:t>
      </w:r>
    </w:p>
    <w:sectPr w:rsidR="00CA1718" w:rsidRPr="00CA1718" w:rsidSect="00ED053D">
      <w:headerReference w:type="even" r:id="rId12"/>
      <w:headerReference w:type="first" r:id="rId13"/>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5997" w14:textId="77777777" w:rsidR="005C1602" w:rsidRDefault="005C1602">
      <w:r>
        <w:separator/>
      </w:r>
    </w:p>
  </w:endnote>
  <w:endnote w:type="continuationSeparator" w:id="0">
    <w:p w14:paraId="092DA807" w14:textId="77777777" w:rsidR="005C1602" w:rsidRDefault="005C1602">
      <w:r>
        <w:continuationSeparator/>
      </w:r>
    </w:p>
  </w:endnote>
  <w:endnote w:type="continuationNotice" w:id="1">
    <w:p w14:paraId="3CE2E8AD" w14:textId="77777777" w:rsidR="005C1602" w:rsidRDefault="005C1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FBC3E" w14:textId="77777777" w:rsidR="005C1602" w:rsidRDefault="005C1602">
      <w:r>
        <w:separator/>
      </w:r>
    </w:p>
  </w:footnote>
  <w:footnote w:type="continuationSeparator" w:id="0">
    <w:p w14:paraId="5AD363E5" w14:textId="77777777" w:rsidR="005C1602" w:rsidRDefault="005C1602">
      <w:r>
        <w:continuationSeparator/>
      </w:r>
    </w:p>
  </w:footnote>
  <w:footnote w:type="continuationNotice" w:id="1">
    <w:p w14:paraId="37F5E657" w14:textId="77777777" w:rsidR="005C1602" w:rsidRDefault="005C1602"/>
  </w:footnote>
  <w:footnote w:id="2">
    <w:p w14:paraId="449F0921" w14:textId="5B492222" w:rsidR="00CA1718" w:rsidRPr="00CA1718" w:rsidRDefault="00CA1718">
      <w:pPr>
        <w:pStyle w:val="FootnoteText"/>
        <w:rPr>
          <w:lang w:val="en-US"/>
        </w:rPr>
      </w:pPr>
      <w:r w:rsidRPr="00CA1718">
        <w:rPr>
          <w:rStyle w:val="FootnoteReference"/>
        </w:rPr>
        <w:footnoteRef/>
      </w:r>
      <w:r w:rsidRPr="00CA1718">
        <w:t xml:space="preserve"> </w:t>
      </w:r>
      <w:r w:rsidRPr="00CA1718">
        <w:rPr>
          <w:rFonts w:asciiTheme="majorBidi" w:hAnsiTheme="majorBidi" w:cstheme="majorBidi"/>
          <w:lang w:val="en-US"/>
        </w:rPr>
        <w:t>and subsequently carried forward to CADE (1960), ICESCR (1966), and CRC (1989)</w:t>
      </w:r>
    </w:p>
  </w:footnote>
  <w:footnote w:id="3">
    <w:p w14:paraId="3FD57F47" w14:textId="7F6CDE6D" w:rsidR="00C37E8C" w:rsidRPr="00CA1718" w:rsidRDefault="00C37E8C" w:rsidP="00C37E8C">
      <w:pPr>
        <w:pStyle w:val="FootnoteText"/>
      </w:pPr>
      <w:r w:rsidRPr="00CA1718">
        <w:rPr>
          <w:rStyle w:val="FootnoteReference"/>
        </w:rPr>
        <w:footnoteRef/>
      </w:r>
      <w:r w:rsidRPr="00CA1718">
        <w:t xml:space="preserve"> Dr. James Stanfield, Parental choice and the right to education: Revisiting Article 26 of the Universal Declaration of Human Rights</w:t>
      </w:r>
      <w:r w:rsidRPr="00CA1718">
        <w:rPr>
          <w:b/>
          <w:bCs/>
        </w:rPr>
        <w:t xml:space="preserve"> </w:t>
      </w:r>
      <w:r w:rsidRPr="00CA1718">
        <w:t>(Paper commissioned for the 2021/2 Global Education Monitoring Report, Non-state actors in education)</w:t>
      </w:r>
    </w:p>
  </w:footnote>
  <w:footnote w:id="4">
    <w:p w14:paraId="22974D54" w14:textId="1B3330B2" w:rsidR="00C37E8C" w:rsidRPr="00CA1718" w:rsidRDefault="00C37E8C">
      <w:pPr>
        <w:pStyle w:val="FootnoteText"/>
        <w:rPr>
          <w:lang w:val="en-US"/>
        </w:rPr>
      </w:pPr>
      <w:r w:rsidRPr="00CA1718">
        <w:rPr>
          <w:rStyle w:val="FootnoteReference"/>
        </w:rPr>
        <w:footnoteRef/>
      </w:r>
      <w:r w:rsidRPr="00CA1718">
        <w:t xml:space="preserve"> Unless they can afford private education</w:t>
      </w:r>
    </w:p>
  </w:footnote>
  <w:footnote w:id="5">
    <w:p w14:paraId="67CBCEE4" w14:textId="7724AB47" w:rsidR="00C37E8C" w:rsidRPr="00CA1718" w:rsidRDefault="00C37E8C">
      <w:pPr>
        <w:pStyle w:val="FootnoteText"/>
        <w:rPr>
          <w:lang w:val="en-US"/>
        </w:rPr>
      </w:pPr>
      <w:r w:rsidRPr="00CA1718">
        <w:rPr>
          <w:rStyle w:val="FootnoteReference"/>
        </w:rPr>
        <w:footnoteRef/>
      </w:r>
      <w:r w:rsidRPr="00CA1718">
        <w:t xml:space="preserve"> </w:t>
      </w:r>
      <w:r w:rsidRPr="00CA1718">
        <w:rPr>
          <w:lang w:val="en-US"/>
        </w:rPr>
        <w:t xml:space="preserve">In Sri Lanka, undergraduate degrees in public universities are </w:t>
      </w:r>
      <w:r w:rsidRPr="00CA1718">
        <w:rPr>
          <w:lang w:val="en-US"/>
        </w:rPr>
        <w:t>public-funded. However, accessing the desirable degrees is very difficult without significant investment in exam-prep classes.</w:t>
      </w:r>
    </w:p>
  </w:footnote>
  <w:footnote w:id="6">
    <w:p w14:paraId="6517C675" w14:textId="77777777" w:rsidR="00C37E8C" w:rsidRPr="00CA1718" w:rsidRDefault="00C37E8C" w:rsidP="00C37E8C">
      <w:pPr>
        <w:pStyle w:val="FootnoteText"/>
        <w:rPr>
          <w:lang w:val="en-US"/>
        </w:rPr>
      </w:pPr>
      <w:r w:rsidRPr="00CA1718">
        <w:rPr>
          <w:rStyle w:val="FootnoteReference"/>
        </w:rPr>
        <w:footnoteRef/>
      </w:r>
      <w:r w:rsidRPr="00CA1718">
        <w:t xml:space="preserve"> </w:t>
      </w:r>
      <w:r w:rsidRPr="00CA1718">
        <w:rPr>
          <w:lang w:val="en-US"/>
        </w:rPr>
        <w:t>Art. 31 of the UN CRC</w:t>
      </w:r>
    </w:p>
  </w:footnote>
  <w:footnote w:id="7">
    <w:p w14:paraId="33F37020" w14:textId="547F48C2" w:rsidR="00C37E8C" w:rsidRPr="00CA1718" w:rsidRDefault="00C37E8C" w:rsidP="00C37E8C">
      <w:pPr>
        <w:pStyle w:val="FootnoteText"/>
        <w:rPr>
          <w:lang w:val="en-US"/>
        </w:rPr>
      </w:pPr>
      <w:r w:rsidRPr="00CA1718">
        <w:rPr>
          <w:rStyle w:val="FootnoteReference"/>
        </w:rPr>
        <w:footnoteRef/>
      </w:r>
      <w:r w:rsidRPr="00CA1718">
        <w:t xml:space="preserve"> </w:t>
      </w:r>
      <w:r w:rsidRPr="00CA1718">
        <w:rPr>
          <w:lang w:val="en-US"/>
        </w:rPr>
        <w:t xml:space="preserve">Mentoring on how to prepare a portfolio, proctoring to certify that a particular piece of work was done by the student themselves, etc. </w:t>
      </w:r>
    </w:p>
  </w:footnote>
  <w:footnote w:id="8">
    <w:p w14:paraId="6EAD75E0" w14:textId="77777777" w:rsidR="00C37E8C" w:rsidRPr="00CA1718" w:rsidRDefault="00C37E8C" w:rsidP="00C37E8C">
      <w:pPr>
        <w:pStyle w:val="FootnoteText"/>
        <w:rPr>
          <w:lang w:val="en-US"/>
        </w:rPr>
      </w:pPr>
      <w:r w:rsidRPr="00CA1718">
        <w:rPr>
          <w:rStyle w:val="FootnoteReference"/>
        </w:rPr>
        <w:footnoteRef/>
      </w:r>
      <w:r w:rsidRPr="00CA1718">
        <w:t xml:space="preserve"> </w:t>
      </w:r>
      <w:r w:rsidRPr="00CA1718">
        <w:rPr>
          <w:lang w:val="en-US"/>
        </w:rPr>
        <w:t>Provided the request is compatible with the Aims of Education, Art. 29. 1 of the UN CRC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EE596" w14:textId="4F0E126D" w:rsidR="00955DD9" w:rsidRPr="00925A9D" w:rsidRDefault="00955DD9" w:rsidP="00B7268F">
    <w:pPr>
      <w:pStyle w:val="Header"/>
      <w:tabs>
        <w:tab w:val="clear" w:pos="4153"/>
        <w:tab w:val="clear" w:pos="8306"/>
      </w:tabs>
      <w:jc w:val="center"/>
      <w:rPr>
        <w:sz w:val="14"/>
        <w:szCs w:val="14"/>
        <w:lang w:val="en-GB"/>
      </w:rPr>
    </w:pPr>
  </w:p>
  <w:p w14:paraId="703A694E" w14:textId="77777777" w:rsidR="00955DD9" w:rsidRDefault="00955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4F19" w14:textId="18EFC70E" w:rsidR="006703B1" w:rsidRPr="00925A9D" w:rsidRDefault="003E0F27" w:rsidP="00C80564">
    <w:pPr>
      <w:pStyle w:val="Header"/>
      <w:tabs>
        <w:tab w:val="clear" w:pos="4153"/>
        <w:tab w:val="clear" w:pos="8306"/>
      </w:tabs>
      <w:jc w:val="center"/>
      <w:rPr>
        <w:sz w:val="14"/>
        <w:szCs w:val="14"/>
        <w:lang w:val="en-GB"/>
      </w:rPr>
    </w:pPr>
    <w:r w:rsidRPr="003F7C17">
      <w:rPr>
        <w:noProof/>
        <w:snapToGrid/>
        <w:sz w:val="14"/>
        <w:szCs w:val="14"/>
        <w:lang w:val="en-GB" w:eastAsia="en-GB"/>
      </w:rPr>
      <w:drawing>
        <wp:inline distT="0" distB="0" distL="0" distR="0" wp14:anchorId="41B4263F" wp14:editId="372C27A3">
          <wp:extent cx="2838450" cy="1219200"/>
          <wp:effectExtent l="0" t="0" r="0" b="0"/>
          <wp:docPr id="1168550637" name="Picture 3"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1219200"/>
                  </a:xfrm>
                  <a:prstGeom prst="rect">
                    <a:avLst/>
                  </a:prstGeom>
                  <a:noFill/>
                  <a:ln>
                    <a:noFill/>
                  </a:ln>
                </pic:spPr>
              </pic:pic>
            </a:graphicData>
          </a:graphic>
        </wp:inline>
      </w:drawing>
    </w:r>
  </w:p>
  <w:p w14:paraId="6BAE46D3" w14:textId="77777777" w:rsidR="006703B1" w:rsidRPr="00B91186" w:rsidRDefault="006703B1" w:rsidP="00B91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516054"/>
    <w:multiLevelType w:val="hybridMultilevel"/>
    <w:tmpl w:val="72A81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 w15:restartNumberingAfterBreak="0">
    <w:nsid w:val="02EA0BF8"/>
    <w:multiLevelType w:val="hybridMultilevel"/>
    <w:tmpl w:val="84A66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4D75238"/>
    <w:multiLevelType w:val="hybridMultilevel"/>
    <w:tmpl w:val="B936E754"/>
    <w:lvl w:ilvl="0" w:tplc="1AAA5E0E">
      <w:start w:val="1"/>
      <w:numFmt w:val="decimal"/>
      <w:lvlText w:val="%1."/>
      <w:lvlJc w:val="left"/>
      <w:pPr>
        <w:ind w:left="720" w:hanging="360"/>
      </w:pPr>
      <w:rPr>
        <w:rFonts w:eastAsia="Arial"/>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6"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3F12E73"/>
    <w:multiLevelType w:val="hybridMultilevel"/>
    <w:tmpl w:val="325EB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E63BD7"/>
    <w:multiLevelType w:val="hybridMultilevel"/>
    <w:tmpl w:val="235E54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2" w15:restartNumberingAfterBreak="0">
    <w:nsid w:val="1C9A70FF"/>
    <w:multiLevelType w:val="hybridMultilevel"/>
    <w:tmpl w:val="491E6BF2"/>
    <w:lvl w:ilvl="0" w:tplc="13CA8574">
      <w:start w:val="8"/>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3" w15:restartNumberingAfterBreak="0">
    <w:nsid w:val="1D7711BE"/>
    <w:multiLevelType w:val="hybridMultilevel"/>
    <w:tmpl w:val="ACC69DC6"/>
    <w:lvl w:ilvl="0" w:tplc="650E2254">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FA4153D"/>
    <w:multiLevelType w:val="hybridMultilevel"/>
    <w:tmpl w:val="09126714"/>
    <w:lvl w:ilvl="0" w:tplc="1AAA5E0E">
      <w:start w:val="1"/>
      <w:numFmt w:val="decimal"/>
      <w:lvlText w:val="%1."/>
      <w:lvlJc w:val="left"/>
      <w:pPr>
        <w:ind w:left="720" w:hanging="360"/>
      </w:pPr>
      <w:rPr>
        <w:rFonts w:eastAsia="Arial"/>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6" w15:restartNumberingAfterBreak="0">
    <w:nsid w:val="1FE848C2"/>
    <w:multiLevelType w:val="hybridMultilevel"/>
    <w:tmpl w:val="F5D2446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27773D"/>
    <w:multiLevelType w:val="multilevel"/>
    <w:tmpl w:val="7014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317A77"/>
    <w:multiLevelType w:val="hybridMultilevel"/>
    <w:tmpl w:val="F5D244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934E93"/>
    <w:multiLevelType w:val="hybridMultilevel"/>
    <w:tmpl w:val="6DE0B078"/>
    <w:lvl w:ilvl="0" w:tplc="4DF89FE4">
      <w:start w:val="1"/>
      <w:numFmt w:val="decimal"/>
      <w:lvlText w:val="%1."/>
      <w:lvlJc w:val="left"/>
      <w:pPr>
        <w:ind w:left="930" w:hanging="57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B847F4"/>
    <w:multiLevelType w:val="hybridMultilevel"/>
    <w:tmpl w:val="A97EBC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4"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6C3A8A"/>
    <w:multiLevelType w:val="hybridMultilevel"/>
    <w:tmpl w:val="6358C4B0"/>
    <w:lvl w:ilvl="0" w:tplc="08090013">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804B92"/>
    <w:multiLevelType w:val="hybridMultilevel"/>
    <w:tmpl w:val="A4584B9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6B14CF"/>
    <w:multiLevelType w:val="hybridMultilevel"/>
    <w:tmpl w:val="A97EB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7F21F4"/>
    <w:multiLevelType w:val="hybridMultilevel"/>
    <w:tmpl w:val="683897FC"/>
    <w:lvl w:ilvl="0" w:tplc="7CE26454">
      <w:start w:val="1"/>
      <w:numFmt w:val="decimal"/>
      <w:lvlText w:val="%1."/>
      <w:lvlJc w:val="left"/>
      <w:pPr>
        <w:ind w:left="720" w:hanging="360"/>
      </w:pPr>
      <w:rPr>
        <w:rFonts w:asciiTheme="majorBidi" w:hAnsiTheme="majorBidi" w:cstheme="majorBidi"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CE5DD1"/>
    <w:multiLevelType w:val="multilevel"/>
    <w:tmpl w:val="F5D2446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1"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32"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7C26B3"/>
    <w:multiLevelType w:val="hybridMultilevel"/>
    <w:tmpl w:val="7292EA62"/>
    <w:lvl w:ilvl="0" w:tplc="5352D7E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5" w15:restartNumberingAfterBreak="0">
    <w:nsid w:val="5780239A"/>
    <w:multiLevelType w:val="hybridMultilevel"/>
    <w:tmpl w:val="AF003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9"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40" w15:restartNumberingAfterBreak="0">
    <w:nsid w:val="63BD0E0B"/>
    <w:multiLevelType w:val="hybridMultilevel"/>
    <w:tmpl w:val="EC8E9A34"/>
    <w:lvl w:ilvl="0" w:tplc="A3C8C244">
      <w:start w:val="2"/>
      <w:numFmt w:val="bullet"/>
      <w:lvlText w:val="-"/>
      <w:lvlJc w:val="left"/>
      <w:pPr>
        <w:ind w:left="720" w:hanging="360"/>
      </w:pPr>
      <w:rPr>
        <w:rFonts w:ascii="Verdana" w:eastAsia="Helvetica Neue"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5B35403"/>
    <w:multiLevelType w:val="hybridMultilevel"/>
    <w:tmpl w:val="F1AABD6C"/>
    <w:lvl w:ilvl="0" w:tplc="32C40B18">
      <w:start w:val="1"/>
      <w:numFmt w:val="decimal"/>
      <w:lvlText w:val="%1."/>
      <w:lvlJc w:val="left"/>
      <w:pPr>
        <w:ind w:left="4018" w:hanging="540"/>
      </w:pPr>
      <w:rPr>
        <w:rFonts w:hint="default"/>
      </w:rPr>
    </w:lvl>
    <w:lvl w:ilvl="1" w:tplc="08090019" w:tentative="1">
      <w:start w:val="1"/>
      <w:numFmt w:val="lowerLetter"/>
      <w:lvlText w:val="%2."/>
      <w:lvlJc w:val="left"/>
      <w:pPr>
        <w:ind w:left="4558" w:hanging="360"/>
      </w:pPr>
    </w:lvl>
    <w:lvl w:ilvl="2" w:tplc="0809001B" w:tentative="1">
      <w:start w:val="1"/>
      <w:numFmt w:val="lowerRoman"/>
      <w:lvlText w:val="%3."/>
      <w:lvlJc w:val="right"/>
      <w:pPr>
        <w:ind w:left="5278" w:hanging="180"/>
      </w:pPr>
    </w:lvl>
    <w:lvl w:ilvl="3" w:tplc="0809000F" w:tentative="1">
      <w:start w:val="1"/>
      <w:numFmt w:val="decimal"/>
      <w:lvlText w:val="%4."/>
      <w:lvlJc w:val="left"/>
      <w:pPr>
        <w:ind w:left="5998" w:hanging="360"/>
      </w:pPr>
    </w:lvl>
    <w:lvl w:ilvl="4" w:tplc="08090019" w:tentative="1">
      <w:start w:val="1"/>
      <w:numFmt w:val="lowerLetter"/>
      <w:lvlText w:val="%5."/>
      <w:lvlJc w:val="left"/>
      <w:pPr>
        <w:ind w:left="6718" w:hanging="360"/>
      </w:pPr>
    </w:lvl>
    <w:lvl w:ilvl="5" w:tplc="0809001B" w:tentative="1">
      <w:start w:val="1"/>
      <w:numFmt w:val="lowerRoman"/>
      <w:lvlText w:val="%6."/>
      <w:lvlJc w:val="right"/>
      <w:pPr>
        <w:ind w:left="7438" w:hanging="180"/>
      </w:pPr>
    </w:lvl>
    <w:lvl w:ilvl="6" w:tplc="0809000F" w:tentative="1">
      <w:start w:val="1"/>
      <w:numFmt w:val="decimal"/>
      <w:lvlText w:val="%7."/>
      <w:lvlJc w:val="left"/>
      <w:pPr>
        <w:ind w:left="8158" w:hanging="360"/>
      </w:pPr>
    </w:lvl>
    <w:lvl w:ilvl="7" w:tplc="08090019" w:tentative="1">
      <w:start w:val="1"/>
      <w:numFmt w:val="lowerLetter"/>
      <w:lvlText w:val="%8."/>
      <w:lvlJc w:val="left"/>
      <w:pPr>
        <w:ind w:left="8878" w:hanging="360"/>
      </w:pPr>
    </w:lvl>
    <w:lvl w:ilvl="8" w:tplc="0809001B" w:tentative="1">
      <w:start w:val="1"/>
      <w:numFmt w:val="lowerRoman"/>
      <w:lvlText w:val="%9."/>
      <w:lvlJc w:val="right"/>
      <w:pPr>
        <w:ind w:left="9598" w:hanging="180"/>
      </w:pPr>
    </w:lvl>
  </w:abstractNum>
  <w:abstractNum w:abstractNumId="42" w15:restartNumberingAfterBreak="0">
    <w:nsid w:val="660A4FF0"/>
    <w:multiLevelType w:val="hybridMultilevel"/>
    <w:tmpl w:val="7292EA62"/>
    <w:lvl w:ilvl="0" w:tplc="5352D7E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3" w15:restartNumberingAfterBreak="0">
    <w:nsid w:val="67544753"/>
    <w:multiLevelType w:val="multilevel"/>
    <w:tmpl w:val="E30A96B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lvl>
    <w:lvl w:ilvl="2">
      <w:start w:val="9"/>
      <w:numFmt w:val="bullet"/>
      <w:lvlText w:val="-"/>
      <w:lvlJc w:val="left"/>
      <w:pPr>
        <w:ind w:left="1224" w:hanging="504"/>
      </w:pPr>
      <w:rPr>
        <w:rFonts w:ascii="Times New Roman" w:hAnsi="Times New Roman" w:cs="Times New Roman"/>
        <w: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9514869">
    <w:abstractNumId w:val="32"/>
  </w:num>
  <w:num w:numId="2" w16cid:durableId="1068383318">
    <w:abstractNumId w:val="46"/>
  </w:num>
  <w:num w:numId="3" w16cid:durableId="171191792">
    <w:abstractNumId w:val="36"/>
  </w:num>
  <w:num w:numId="4" w16cid:durableId="144245597">
    <w:abstractNumId w:val="14"/>
  </w:num>
  <w:num w:numId="5" w16cid:durableId="25760526">
    <w:abstractNumId w:val="37"/>
  </w:num>
  <w:num w:numId="6" w16cid:durableId="240258260">
    <w:abstractNumId w:val="21"/>
  </w:num>
  <w:num w:numId="7" w16cid:durableId="196627992">
    <w:abstractNumId w:val="4"/>
  </w:num>
  <w:num w:numId="8" w16cid:durableId="1810395511">
    <w:abstractNumId w:val="23"/>
  </w:num>
  <w:num w:numId="9" w16cid:durableId="1390760079">
    <w:abstractNumId w:val="6"/>
  </w:num>
  <w:num w:numId="10" w16cid:durableId="697966821">
    <w:abstractNumId w:val="2"/>
  </w:num>
  <w:num w:numId="11" w16cid:durableId="1566910233">
    <w:abstractNumId w:val="19"/>
  </w:num>
  <w:num w:numId="12" w16cid:durableId="1326279012">
    <w:abstractNumId w:val="44"/>
  </w:num>
  <w:num w:numId="13" w16cid:durableId="1406799824">
    <w:abstractNumId w:val="45"/>
  </w:num>
  <w:num w:numId="14" w16cid:durableId="711224485">
    <w:abstractNumId w:val="31"/>
  </w:num>
  <w:num w:numId="15" w16cid:durableId="1975408348">
    <w:abstractNumId w:val="10"/>
  </w:num>
  <w:num w:numId="16" w16cid:durableId="522594853">
    <w:abstractNumId w:val="0"/>
  </w:num>
  <w:num w:numId="17" w16cid:durableId="917445047">
    <w:abstractNumId w:val="39"/>
  </w:num>
  <w:num w:numId="18" w16cid:durableId="1775128990">
    <w:abstractNumId w:val="11"/>
  </w:num>
  <w:num w:numId="19" w16cid:durableId="880291650">
    <w:abstractNumId w:val="30"/>
  </w:num>
  <w:num w:numId="20" w16cid:durableId="1269117397">
    <w:abstractNumId w:val="7"/>
  </w:num>
  <w:num w:numId="21" w16cid:durableId="1740857134">
    <w:abstractNumId w:val="38"/>
  </w:num>
  <w:num w:numId="22" w16cid:durableId="1372925447">
    <w:abstractNumId w:val="34"/>
  </w:num>
  <w:num w:numId="23" w16cid:durableId="417407102">
    <w:abstractNumId w:val="24"/>
  </w:num>
  <w:num w:numId="24" w16cid:durableId="1433470254">
    <w:abstractNumId w:val="41"/>
  </w:num>
  <w:num w:numId="25" w16cid:durableId="1584757129">
    <w:abstractNumId w:val="33"/>
  </w:num>
  <w:num w:numId="26" w16cid:durableId="504590757">
    <w:abstractNumId w:val="42"/>
  </w:num>
  <w:num w:numId="27" w16cid:durableId="261303265">
    <w:abstractNumId w:val="15"/>
  </w:num>
  <w:num w:numId="28" w16cid:durableId="30419717">
    <w:abstractNumId w:val="5"/>
  </w:num>
  <w:num w:numId="29" w16cid:durableId="1883715002">
    <w:abstractNumId w:val="40"/>
  </w:num>
  <w:num w:numId="30" w16cid:durableId="1295137939">
    <w:abstractNumId w:val="4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9352057">
    <w:abstractNumId w:val="1"/>
  </w:num>
  <w:num w:numId="32" w16cid:durableId="2062707025">
    <w:abstractNumId w:val="25"/>
  </w:num>
  <w:num w:numId="33" w16cid:durableId="413017993">
    <w:abstractNumId w:val="12"/>
  </w:num>
  <w:num w:numId="34" w16cid:durableId="649091797">
    <w:abstractNumId w:val="20"/>
  </w:num>
  <w:num w:numId="35" w16cid:durableId="165750704">
    <w:abstractNumId w:val="17"/>
  </w:num>
  <w:num w:numId="36" w16cid:durableId="1432702759">
    <w:abstractNumId w:val="28"/>
  </w:num>
  <w:num w:numId="37" w16cid:durableId="672220086">
    <w:abstractNumId w:val="27"/>
  </w:num>
  <w:num w:numId="38" w16cid:durableId="857691840">
    <w:abstractNumId w:val="3"/>
  </w:num>
  <w:num w:numId="39" w16cid:durableId="1483041501">
    <w:abstractNumId w:val="16"/>
  </w:num>
  <w:num w:numId="40" w16cid:durableId="1919629585">
    <w:abstractNumId w:val="18"/>
  </w:num>
  <w:num w:numId="41" w16cid:durableId="2037389291">
    <w:abstractNumId w:val="26"/>
  </w:num>
  <w:num w:numId="42" w16cid:durableId="213469816">
    <w:abstractNumId w:val="9"/>
  </w:num>
  <w:num w:numId="43" w16cid:durableId="1459296887">
    <w:abstractNumId w:val="13"/>
  </w:num>
  <w:num w:numId="44" w16cid:durableId="1583754077">
    <w:abstractNumId w:val="29"/>
  </w:num>
  <w:num w:numId="45" w16cid:durableId="435826868">
    <w:abstractNumId w:val="8"/>
  </w:num>
  <w:num w:numId="46" w16cid:durableId="494492900">
    <w:abstractNumId w:val="22"/>
  </w:num>
  <w:num w:numId="47" w16cid:durableId="211015175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activeWritingStyle w:appName="MSWord" w:lang="fr-CH" w:vendorID="64" w:dllVersion="6" w:nlCheck="1" w:checkStyle="0"/>
  <w:activeWritingStyle w:appName="MSWord" w:lang="en-US" w:vendorID="64" w:dllVersion="6" w:nlCheck="1" w:checkStyle="1"/>
  <w:activeWritingStyle w:appName="MSWord" w:lang="en-GB" w:vendorID="64" w:dllVersion="6" w:nlCheck="1" w:checkStyle="0"/>
  <w:activeWritingStyle w:appName="MSWord" w:lang="fr-CH"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ES"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02E48"/>
    <w:rsid w:val="00003E34"/>
    <w:rsid w:val="00012A0C"/>
    <w:rsid w:val="000138F6"/>
    <w:rsid w:val="00023D7B"/>
    <w:rsid w:val="00026D1F"/>
    <w:rsid w:val="000340E3"/>
    <w:rsid w:val="00034190"/>
    <w:rsid w:val="0003674D"/>
    <w:rsid w:val="000448F9"/>
    <w:rsid w:val="0005148F"/>
    <w:rsid w:val="0005264D"/>
    <w:rsid w:val="0005381F"/>
    <w:rsid w:val="0005390B"/>
    <w:rsid w:val="00053E2A"/>
    <w:rsid w:val="00054462"/>
    <w:rsid w:val="000552AA"/>
    <w:rsid w:val="00060B7C"/>
    <w:rsid w:val="00062B2F"/>
    <w:rsid w:val="00063BFD"/>
    <w:rsid w:val="00067189"/>
    <w:rsid w:val="00076B62"/>
    <w:rsid w:val="00077294"/>
    <w:rsid w:val="000860EF"/>
    <w:rsid w:val="00086DDA"/>
    <w:rsid w:val="000875C6"/>
    <w:rsid w:val="00091BF0"/>
    <w:rsid w:val="000A2B89"/>
    <w:rsid w:val="000A5FAD"/>
    <w:rsid w:val="000A6F03"/>
    <w:rsid w:val="000B689C"/>
    <w:rsid w:val="000B7800"/>
    <w:rsid w:val="000C0632"/>
    <w:rsid w:val="000C2F33"/>
    <w:rsid w:val="000D210E"/>
    <w:rsid w:val="000D34F2"/>
    <w:rsid w:val="000D7AE5"/>
    <w:rsid w:val="000E42EE"/>
    <w:rsid w:val="000E603B"/>
    <w:rsid w:val="000F183C"/>
    <w:rsid w:val="000F734A"/>
    <w:rsid w:val="0010166B"/>
    <w:rsid w:val="00106F64"/>
    <w:rsid w:val="00112F02"/>
    <w:rsid w:val="00114066"/>
    <w:rsid w:val="00115798"/>
    <w:rsid w:val="001169EB"/>
    <w:rsid w:val="00116BB6"/>
    <w:rsid w:val="0011790E"/>
    <w:rsid w:val="001205D6"/>
    <w:rsid w:val="00125EA2"/>
    <w:rsid w:val="00127564"/>
    <w:rsid w:val="00127D35"/>
    <w:rsid w:val="00132ACD"/>
    <w:rsid w:val="00135815"/>
    <w:rsid w:val="00136FF7"/>
    <w:rsid w:val="001375B0"/>
    <w:rsid w:val="0014528C"/>
    <w:rsid w:val="001456CB"/>
    <w:rsid w:val="001503A2"/>
    <w:rsid w:val="001537CC"/>
    <w:rsid w:val="00153DB2"/>
    <w:rsid w:val="0015615C"/>
    <w:rsid w:val="001676BA"/>
    <w:rsid w:val="001718CD"/>
    <w:rsid w:val="00172E95"/>
    <w:rsid w:val="00181FDD"/>
    <w:rsid w:val="00194332"/>
    <w:rsid w:val="001B10A4"/>
    <w:rsid w:val="001B1232"/>
    <w:rsid w:val="001B3AE8"/>
    <w:rsid w:val="001B7B09"/>
    <w:rsid w:val="001C4360"/>
    <w:rsid w:val="001D0197"/>
    <w:rsid w:val="001D2D0D"/>
    <w:rsid w:val="001D3313"/>
    <w:rsid w:val="001D6DF5"/>
    <w:rsid w:val="001E3384"/>
    <w:rsid w:val="001F6512"/>
    <w:rsid w:val="002028A9"/>
    <w:rsid w:val="00210911"/>
    <w:rsid w:val="0021296A"/>
    <w:rsid w:val="002129D5"/>
    <w:rsid w:val="002130A2"/>
    <w:rsid w:val="00221893"/>
    <w:rsid w:val="00221FFB"/>
    <w:rsid w:val="00224386"/>
    <w:rsid w:val="00227E2F"/>
    <w:rsid w:val="00230775"/>
    <w:rsid w:val="002323C0"/>
    <w:rsid w:val="00235A1A"/>
    <w:rsid w:val="002375B0"/>
    <w:rsid w:val="00240A78"/>
    <w:rsid w:val="002431DB"/>
    <w:rsid w:val="00244860"/>
    <w:rsid w:val="0024583B"/>
    <w:rsid w:val="00251516"/>
    <w:rsid w:val="0025174E"/>
    <w:rsid w:val="002554EB"/>
    <w:rsid w:val="00262ACF"/>
    <w:rsid w:val="00264922"/>
    <w:rsid w:val="00266D70"/>
    <w:rsid w:val="00270B00"/>
    <w:rsid w:val="00273A31"/>
    <w:rsid w:val="00282983"/>
    <w:rsid w:val="00282E14"/>
    <w:rsid w:val="0028546D"/>
    <w:rsid w:val="0028624E"/>
    <w:rsid w:val="002863A2"/>
    <w:rsid w:val="00291E28"/>
    <w:rsid w:val="00293243"/>
    <w:rsid w:val="00295277"/>
    <w:rsid w:val="002969BF"/>
    <w:rsid w:val="002975A3"/>
    <w:rsid w:val="00297B0A"/>
    <w:rsid w:val="002A49A1"/>
    <w:rsid w:val="002B0220"/>
    <w:rsid w:val="002C17CC"/>
    <w:rsid w:val="002C3EBC"/>
    <w:rsid w:val="002C4048"/>
    <w:rsid w:val="002C5CD0"/>
    <w:rsid w:val="002C65D5"/>
    <w:rsid w:val="002D3CCD"/>
    <w:rsid w:val="002E65F4"/>
    <w:rsid w:val="002E7192"/>
    <w:rsid w:val="002F400B"/>
    <w:rsid w:val="002F51FF"/>
    <w:rsid w:val="00305B08"/>
    <w:rsid w:val="00310279"/>
    <w:rsid w:val="00310E7C"/>
    <w:rsid w:val="00315265"/>
    <w:rsid w:val="00320305"/>
    <w:rsid w:val="00321DC0"/>
    <w:rsid w:val="003250C9"/>
    <w:rsid w:val="00325871"/>
    <w:rsid w:val="00331451"/>
    <w:rsid w:val="00335FB9"/>
    <w:rsid w:val="00341CB8"/>
    <w:rsid w:val="00356299"/>
    <w:rsid w:val="003577DB"/>
    <w:rsid w:val="00357AA5"/>
    <w:rsid w:val="003642A6"/>
    <w:rsid w:val="00373EF9"/>
    <w:rsid w:val="0037557C"/>
    <w:rsid w:val="00380489"/>
    <w:rsid w:val="00380673"/>
    <w:rsid w:val="003858DE"/>
    <w:rsid w:val="00385A89"/>
    <w:rsid w:val="00386CDB"/>
    <w:rsid w:val="003915DB"/>
    <w:rsid w:val="00392051"/>
    <w:rsid w:val="003956EF"/>
    <w:rsid w:val="00396E4C"/>
    <w:rsid w:val="003A08A4"/>
    <w:rsid w:val="003A3452"/>
    <w:rsid w:val="003A3957"/>
    <w:rsid w:val="003A3CF5"/>
    <w:rsid w:val="003A66B7"/>
    <w:rsid w:val="003A785A"/>
    <w:rsid w:val="003B765E"/>
    <w:rsid w:val="003C223B"/>
    <w:rsid w:val="003C299E"/>
    <w:rsid w:val="003C37C3"/>
    <w:rsid w:val="003C4440"/>
    <w:rsid w:val="003C5CB6"/>
    <w:rsid w:val="003C63AC"/>
    <w:rsid w:val="003C7357"/>
    <w:rsid w:val="003D0C10"/>
    <w:rsid w:val="003D3D66"/>
    <w:rsid w:val="003D636F"/>
    <w:rsid w:val="003D7325"/>
    <w:rsid w:val="003E0F27"/>
    <w:rsid w:val="003E1831"/>
    <w:rsid w:val="003E552B"/>
    <w:rsid w:val="003E6DEE"/>
    <w:rsid w:val="003F3CBC"/>
    <w:rsid w:val="003F7C17"/>
    <w:rsid w:val="00401FD2"/>
    <w:rsid w:val="00402B8F"/>
    <w:rsid w:val="00403196"/>
    <w:rsid w:val="00410560"/>
    <w:rsid w:val="00413DE1"/>
    <w:rsid w:val="004153DE"/>
    <w:rsid w:val="0041557D"/>
    <w:rsid w:val="00415EFC"/>
    <w:rsid w:val="004166FA"/>
    <w:rsid w:val="00422D33"/>
    <w:rsid w:val="00430598"/>
    <w:rsid w:val="00433B78"/>
    <w:rsid w:val="00440385"/>
    <w:rsid w:val="00440E30"/>
    <w:rsid w:val="00440ED0"/>
    <w:rsid w:val="0044209B"/>
    <w:rsid w:val="00443DF5"/>
    <w:rsid w:val="00444C4F"/>
    <w:rsid w:val="0044514C"/>
    <w:rsid w:val="00447412"/>
    <w:rsid w:val="00455C6D"/>
    <w:rsid w:val="00456419"/>
    <w:rsid w:val="00460258"/>
    <w:rsid w:val="00462635"/>
    <w:rsid w:val="00477AB9"/>
    <w:rsid w:val="004814B1"/>
    <w:rsid w:val="00481515"/>
    <w:rsid w:val="00485CED"/>
    <w:rsid w:val="0048657B"/>
    <w:rsid w:val="00487E65"/>
    <w:rsid w:val="00496A36"/>
    <w:rsid w:val="004A07F3"/>
    <w:rsid w:val="004A33A3"/>
    <w:rsid w:val="004A3D24"/>
    <w:rsid w:val="004A5D9B"/>
    <w:rsid w:val="004A6DFD"/>
    <w:rsid w:val="004B04B2"/>
    <w:rsid w:val="004B3E1E"/>
    <w:rsid w:val="004B4CAC"/>
    <w:rsid w:val="004B7843"/>
    <w:rsid w:val="004C00D3"/>
    <w:rsid w:val="004C044F"/>
    <w:rsid w:val="004C3905"/>
    <w:rsid w:val="004C724E"/>
    <w:rsid w:val="004C77E0"/>
    <w:rsid w:val="004D0922"/>
    <w:rsid w:val="004D21C9"/>
    <w:rsid w:val="004D5717"/>
    <w:rsid w:val="004D5D19"/>
    <w:rsid w:val="004E0AB6"/>
    <w:rsid w:val="004E49EC"/>
    <w:rsid w:val="004E4B3B"/>
    <w:rsid w:val="004E4D86"/>
    <w:rsid w:val="004F1B3B"/>
    <w:rsid w:val="004F4DB0"/>
    <w:rsid w:val="004F7677"/>
    <w:rsid w:val="00501127"/>
    <w:rsid w:val="00506FA9"/>
    <w:rsid w:val="0051098E"/>
    <w:rsid w:val="00517CC8"/>
    <w:rsid w:val="00520DCB"/>
    <w:rsid w:val="00521385"/>
    <w:rsid w:val="005275A0"/>
    <w:rsid w:val="00530EF5"/>
    <w:rsid w:val="00532A56"/>
    <w:rsid w:val="00533014"/>
    <w:rsid w:val="005346CB"/>
    <w:rsid w:val="00535992"/>
    <w:rsid w:val="005417E4"/>
    <w:rsid w:val="005455F8"/>
    <w:rsid w:val="00547355"/>
    <w:rsid w:val="0055573E"/>
    <w:rsid w:val="00555CD7"/>
    <w:rsid w:val="00562D63"/>
    <w:rsid w:val="00570A1B"/>
    <w:rsid w:val="00570E41"/>
    <w:rsid w:val="005752BD"/>
    <w:rsid w:val="00576638"/>
    <w:rsid w:val="00580222"/>
    <w:rsid w:val="005815AB"/>
    <w:rsid w:val="005849E6"/>
    <w:rsid w:val="00585F8E"/>
    <w:rsid w:val="005871D9"/>
    <w:rsid w:val="005872C6"/>
    <w:rsid w:val="005879B6"/>
    <w:rsid w:val="005946F2"/>
    <w:rsid w:val="005957ED"/>
    <w:rsid w:val="005A586C"/>
    <w:rsid w:val="005B6196"/>
    <w:rsid w:val="005C1602"/>
    <w:rsid w:val="005D142E"/>
    <w:rsid w:val="005E1D1F"/>
    <w:rsid w:val="005E52C3"/>
    <w:rsid w:val="005E69A7"/>
    <w:rsid w:val="005E7C37"/>
    <w:rsid w:val="005F1708"/>
    <w:rsid w:val="005F1A5B"/>
    <w:rsid w:val="005F283E"/>
    <w:rsid w:val="005F3AFA"/>
    <w:rsid w:val="0060068B"/>
    <w:rsid w:val="00606DB6"/>
    <w:rsid w:val="0060785C"/>
    <w:rsid w:val="00615C15"/>
    <w:rsid w:val="006166AF"/>
    <w:rsid w:val="006261A9"/>
    <w:rsid w:val="00627A52"/>
    <w:rsid w:val="006306D3"/>
    <w:rsid w:val="00631A8D"/>
    <w:rsid w:val="0063240F"/>
    <w:rsid w:val="00632C43"/>
    <w:rsid w:val="00635102"/>
    <w:rsid w:val="00636BD7"/>
    <w:rsid w:val="006375A5"/>
    <w:rsid w:val="006412EA"/>
    <w:rsid w:val="00645695"/>
    <w:rsid w:val="0064764B"/>
    <w:rsid w:val="00650CD4"/>
    <w:rsid w:val="006605E5"/>
    <w:rsid w:val="00660EDA"/>
    <w:rsid w:val="006617A4"/>
    <w:rsid w:val="006625C0"/>
    <w:rsid w:val="006645E6"/>
    <w:rsid w:val="00667227"/>
    <w:rsid w:val="00667DA9"/>
    <w:rsid w:val="006703B1"/>
    <w:rsid w:val="00674243"/>
    <w:rsid w:val="006749F6"/>
    <w:rsid w:val="00676FB7"/>
    <w:rsid w:val="00682D26"/>
    <w:rsid w:val="00682DDB"/>
    <w:rsid w:val="006834E4"/>
    <w:rsid w:val="00687D69"/>
    <w:rsid w:val="00687E4F"/>
    <w:rsid w:val="00695968"/>
    <w:rsid w:val="00695D3E"/>
    <w:rsid w:val="006A542A"/>
    <w:rsid w:val="006A7352"/>
    <w:rsid w:val="006B01AF"/>
    <w:rsid w:val="006B211D"/>
    <w:rsid w:val="006B3F19"/>
    <w:rsid w:val="006B441C"/>
    <w:rsid w:val="006B5A71"/>
    <w:rsid w:val="006B7298"/>
    <w:rsid w:val="006B7D0F"/>
    <w:rsid w:val="006C0964"/>
    <w:rsid w:val="006D18CA"/>
    <w:rsid w:val="006D66DC"/>
    <w:rsid w:val="006E0B68"/>
    <w:rsid w:val="006E4EE2"/>
    <w:rsid w:val="006E4FEE"/>
    <w:rsid w:val="006E6CC3"/>
    <w:rsid w:val="006F0EE4"/>
    <w:rsid w:val="006F790C"/>
    <w:rsid w:val="0070189A"/>
    <w:rsid w:val="00706103"/>
    <w:rsid w:val="00707E08"/>
    <w:rsid w:val="007112E8"/>
    <w:rsid w:val="007114F8"/>
    <w:rsid w:val="00712363"/>
    <w:rsid w:val="00712EFD"/>
    <w:rsid w:val="00716D30"/>
    <w:rsid w:val="007210F6"/>
    <w:rsid w:val="00723387"/>
    <w:rsid w:val="00723438"/>
    <w:rsid w:val="0072576D"/>
    <w:rsid w:val="00730BD2"/>
    <w:rsid w:val="0073113F"/>
    <w:rsid w:val="00733660"/>
    <w:rsid w:val="007340E1"/>
    <w:rsid w:val="00741EBC"/>
    <w:rsid w:val="007432E5"/>
    <w:rsid w:val="007450E8"/>
    <w:rsid w:val="00754220"/>
    <w:rsid w:val="0075773D"/>
    <w:rsid w:val="007625BA"/>
    <w:rsid w:val="00776BDB"/>
    <w:rsid w:val="00776FDB"/>
    <w:rsid w:val="00787B07"/>
    <w:rsid w:val="00790C76"/>
    <w:rsid w:val="00790CBE"/>
    <w:rsid w:val="00792BD5"/>
    <w:rsid w:val="00794A75"/>
    <w:rsid w:val="0079503A"/>
    <w:rsid w:val="00795469"/>
    <w:rsid w:val="00795D42"/>
    <w:rsid w:val="00796729"/>
    <w:rsid w:val="00796746"/>
    <w:rsid w:val="00797214"/>
    <w:rsid w:val="007A07CD"/>
    <w:rsid w:val="007A291B"/>
    <w:rsid w:val="007A2AC1"/>
    <w:rsid w:val="007B01A6"/>
    <w:rsid w:val="007B1119"/>
    <w:rsid w:val="007B5929"/>
    <w:rsid w:val="007C12AA"/>
    <w:rsid w:val="007C4483"/>
    <w:rsid w:val="007C4A8E"/>
    <w:rsid w:val="007C5369"/>
    <w:rsid w:val="007D1657"/>
    <w:rsid w:val="007D37D2"/>
    <w:rsid w:val="007D47FE"/>
    <w:rsid w:val="007E39E1"/>
    <w:rsid w:val="007E4529"/>
    <w:rsid w:val="007F7DA3"/>
    <w:rsid w:val="0080366A"/>
    <w:rsid w:val="00804C86"/>
    <w:rsid w:val="00816B2C"/>
    <w:rsid w:val="0081788D"/>
    <w:rsid w:val="00821AF5"/>
    <w:rsid w:val="00825470"/>
    <w:rsid w:val="00834AF0"/>
    <w:rsid w:val="00842120"/>
    <w:rsid w:val="00842220"/>
    <w:rsid w:val="008427AA"/>
    <w:rsid w:val="0084548B"/>
    <w:rsid w:val="00846B4A"/>
    <w:rsid w:val="00847A96"/>
    <w:rsid w:val="008501CE"/>
    <w:rsid w:val="00853280"/>
    <w:rsid w:val="008553DE"/>
    <w:rsid w:val="00855524"/>
    <w:rsid w:val="008568EA"/>
    <w:rsid w:val="008617C4"/>
    <w:rsid w:val="008628CC"/>
    <w:rsid w:val="00862952"/>
    <w:rsid w:val="00864FD8"/>
    <w:rsid w:val="008656FA"/>
    <w:rsid w:val="00874280"/>
    <w:rsid w:val="00875D2A"/>
    <w:rsid w:val="008774E3"/>
    <w:rsid w:val="0088144C"/>
    <w:rsid w:val="00885F00"/>
    <w:rsid w:val="00891B22"/>
    <w:rsid w:val="00891DCE"/>
    <w:rsid w:val="00894F09"/>
    <w:rsid w:val="008A2957"/>
    <w:rsid w:val="008B33E8"/>
    <w:rsid w:val="008B4DD7"/>
    <w:rsid w:val="008B4F3E"/>
    <w:rsid w:val="008C27BE"/>
    <w:rsid w:val="008C2924"/>
    <w:rsid w:val="008C3417"/>
    <w:rsid w:val="008C60C0"/>
    <w:rsid w:val="008D01EB"/>
    <w:rsid w:val="008D1A3C"/>
    <w:rsid w:val="008D3B8A"/>
    <w:rsid w:val="008E140A"/>
    <w:rsid w:val="008E46C1"/>
    <w:rsid w:val="008E60F4"/>
    <w:rsid w:val="008F041D"/>
    <w:rsid w:val="00910E16"/>
    <w:rsid w:val="00917D52"/>
    <w:rsid w:val="009240B2"/>
    <w:rsid w:val="00925A9D"/>
    <w:rsid w:val="00926C3A"/>
    <w:rsid w:val="00930F23"/>
    <w:rsid w:val="00932A4D"/>
    <w:rsid w:val="009337F5"/>
    <w:rsid w:val="00935254"/>
    <w:rsid w:val="009358CD"/>
    <w:rsid w:val="00944040"/>
    <w:rsid w:val="00944E25"/>
    <w:rsid w:val="00945265"/>
    <w:rsid w:val="009469B5"/>
    <w:rsid w:val="009513E0"/>
    <w:rsid w:val="00951601"/>
    <w:rsid w:val="00953047"/>
    <w:rsid w:val="00955DD9"/>
    <w:rsid w:val="00956146"/>
    <w:rsid w:val="00965F62"/>
    <w:rsid w:val="00967728"/>
    <w:rsid w:val="00971EFD"/>
    <w:rsid w:val="009739D1"/>
    <w:rsid w:val="009741D5"/>
    <w:rsid w:val="00977C96"/>
    <w:rsid w:val="00982FCF"/>
    <w:rsid w:val="00983FB8"/>
    <w:rsid w:val="0098565E"/>
    <w:rsid w:val="00986237"/>
    <w:rsid w:val="0099086F"/>
    <w:rsid w:val="00991BC1"/>
    <w:rsid w:val="00996943"/>
    <w:rsid w:val="00996D50"/>
    <w:rsid w:val="00997618"/>
    <w:rsid w:val="009A2849"/>
    <w:rsid w:val="009A5A14"/>
    <w:rsid w:val="009A73C4"/>
    <w:rsid w:val="009B012E"/>
    <w:rsid w:val="009B113A"/>
    <w:rsid w:val="009B459A"/>
    <w:rsid w:val="009C13A4"/>
    <w:rsid w:val="009C3081"/>
    <w:rsid w:val="009C3578"/>
    <w:rsid w:val="009C3BCA"/>
    <w:rsid w:val="009D1371"/>
    <w:rsid w:val="009D76A9"/>
    <w:rsid w:val="009D7D2C"/>
    <w:rsid w:val="009E00AF"/>
    <w:rsid w:val="009F18EC"/>
    <w:rsid w:val="009F2043"/>
    <w:rsid w:val="009F304D"/>
    <w:rsid w:val="009F3BC9"/>
    <w:rsid w:val="009F4373"/>
    <w:rsid w:val="009F7BC0"/>
    <w:rsid w:val="00A01741"/>
    <w:rsid w:val="00A1021E"/>
    <w:rsid w:val="00A148C5"/>
    <w:rsid w:val="00A153DB"/>
    <w:rsid w:val="00A209B4"/>
    <w:rsid w:val="00A21EF1"/>
    <w:rsid w:val="00A345DC"/>
    <w:rsid w:val="00A34DA7"/>
    <w:rsid w:val="00A364CF"/>
    <w:rsid w:val="00A3761B"/>
    <w:rsid w:val="00A40490"/>
    <w:rsid w:val="00A415ED"/>
    <w:rsid w:val="00A439B9"/>
    <w:rsid w:val="00A50398"/>
    <w:rsid w:val="00A51C82"/>
    <w:rsid w:val="00A51CFD"/>
    <w:rsid w:val="00A54482"/>
    <w:rsid w:val="00A5509A"/>
    <w:rsid w:val="00A564C7"/>
    <w:rsid w:val="00A61E26"/>
    <w:rsid w:val="00A6283D"/>
    <w:rsid w:val="00A63977"/>
    <w:rsid w:val="00A64143"/>
    <w:rsid w:val="00A65784"/>
    <w:rsid w:val="00A83BEF"/>
    <w:rsid w:val="00A85C61"/>
    <w:rsid w:val="00A86730"/>
    <w:rsid w:val="00A86B19"/>
    <w:rsid w:val="00A86E08"/>
    <w:rsid w:val="00A87FB5"/>
    <w:rsid w:val="00A9048E"/>
    <w:rsid w:val="00A90D67"/>
    <w:rsid w:val="00A92727"/>
    <w:rsid w:val="00A93F3F"/>
    <w:rsid w:val="00A94336"/>
    <w:rsid w:val="00AA3895"/>
    <w:rsid w:val="00AA4829"/>
    <w:rsid w:val="00AB12FC"/>
    <w:rsid w:val="00AC50E4"/>
    <w:rsid w:val="00AC55E3"/>
    <w:rsid w:val="00AC7711"/>
    <w:rsid w:val="00AD1796"/>
    <w:rsid w:val="00AD4CA9"/>
    <w:rsid w:val="00AE2231"/>
    <w:rsid w:val="00AE657D"/>
    <w:rsid w:val="00AE69A2"/>
    <w:rsid w:val="00AE75DB"/>
    <w:rsid w:val="00AE796C"/>
    <w:rsid w:val="00AF1317"/>
    <w:rsid w:val="00AF291B"/>
    <w:rsid w:val="00AF3626"/>
    <w:rsid w:val="00AF7EAB"/>
    <w:rsid w:val="00B02087"/>
    <w:rsid w:val="00B04529"/>
    <w:rsid w:val="00B1277F"/>
    <w:rsid w:val="00B13589"/>
    <w:rsid w:val="00B14752"/>
    <w:rsid w:val="00B16399"/>
    <w:rsid w:val="00B234F6"/>
    <w:rsid w:val="00B246B4"/>
    <w:rsid w:val="00B31236"/>
    <w:rsid w:val="00B42B30"/>
    <w:rsid w:val="00B43D96"/>
    <w:rsid w:val="00B457BE"/>
    <w:rsid w:val="00B458F6"/>
    <w:rsid w:val="00B50202"/>
    <w:rsid w:val="00B54DD5"/>
    <w:rsid w:val="00B559AA"/>
    <w:rsid w:val="00B576FD"/>
    <w:rsid w:val="00B61545"/>
    <w:rsid w:val="00B63FA7"/>
    <w:rsid w:val="00B64878"/>
    <w:rsid w:val="00B7268F"/>
    <w:rsid w:val="00B7425B"/>
    <w:rsid w:val="00B74DB8"/>
    <w:rsid w:val="00B765A9"/>
    <w:rsid w:val="00B827FC"/>
    <w:rsid w:val="00B83C72"/>
    <w:rsid w:val="00B84AE7"/>
    <w:rsid w:val="00B84F46"/>
    <w:rsid w:val="00B85B81"/>
    <w:rsid w:val="00B91186"/>
    <w:rsid w:val="00B92FBB"/>
    <w:rsid w:val="00BA27E5"/>
    <w:rsid w:val="00BB148B"/>
    <w:rsid w:val="00BC0473"/>
    <w:rsid w:val="00BC08E2"/>
    <w:rsid w:val="00BC2424"/>
    <w:rsid w:val="00BC4E6C"/>
    <w:rsid w:val="00BD155C"/>
    <w:rsid w:val="00BD2C78"/>
    <w:rsid w:val="00BD578B"/>
    <w:rsid w:val="00BD6119"/>
    <w:rsid w:val="00BE5A53"/>
    <w:rsid w:val="00BE749A"/>
    <w:rsid w:val="00BF69D2"/>
    <w:rsid w:val="00BF6B1C"/>
    <w:rsid w:val="00C06E18"/>
    <w:rsid w:val="00C07B5F"/>
    <w:rsid w:val="00C12BED"/>
    <w:rsid w:val="00C13ADF"/>
    <w:rsid w:val="00C20398"/>
    <w:rsid w:val="00C234D8"/>
    <w:rsid w:val="00C23DDD"/>
    <w:rsid w:val="00C2622A"/>
    <w:rsid w:val="00C309C5"/>
    <w:rsid w:val="00C32EF1"/>
    <w:rsid w:val="00C35851"/>
    <w:rsid w:val="00C37E8C"/>
    <w:rsid w:val="00C47D3E"/>
    <w:rsid w:val="00C5051C"/>
    <w:rsid w:val="00C538F0"/>
    <w:rsid w:val="00C6141D"/>
    <w:rsid w:val="00C64254"/>
    <w:rsid w:val="00C651F8"/>
    <w:rsid w:val="00C70BFC"/>
    <w:rsid w:val="00C73CD7"/>
    <w:rsid w:val="00C73FDC"/>
    <w:rsid w:val="00C74811"/>
    <w:rsid w:val="00C76D9C"/>
    <w:rsid w:val="00C772EF"/>
    <w:rsid w:val="00C77B43"/>
    <w:rsid w:val="00C80564"/>
    <w:rsid w:val="00C82374"/>
    <w:rsid w:val="00C82CCE"/>
    <w:rsid w:val="00C8797E"/>
    <w:rsid w:val="00C922E3"/>
    <w:rsid w:val="00CA1718"/>
    <w:rsid w:val="00CA4620"/>
    <w:rsid w:val="00CA5B8E"/>
    <w:rsid w:val="00CA65D2"/>
    <w:rsid w:val="00CB1C6E"/>
    <w:rsid w:val="00CB7BCA"/>
    <w:rsid w:val="00CC3E54"/>
    <w:rsid w:val="00CC4107"/>
    <w:rsid w:val="00CC5BEF"/>
    <w:rsid w:val="00CD0230"/>
    <w:rsid w:val="00CD21E0"/>
    <w:rsid w:val="00CE30C0"/>
    <w:rsid w:val="00CE6A0E"/>
    <w:rsid w:val="00D00DDC"/>
    <w:rsid w:val="00D02F61"/>
    <w:rsid w:val="00D04803"/>
    <w:rsid w:val="00D05E5C"/>
    <w:rsid w:val="00D1125E"/>
    <w:rsid w:val="00D115F7"/>
    <w:rsid w:val="00D12389"/>
    <w:rsid w:val="00D149EB"/>
    <w:rsid w:val="00D2123D"/>
    <w:rsid w:val="00D230B7"/>
    <w:rsid w:val="00D23218"/>
    <w:rsid w:val="00D24502"/>
    <w:rsid w:val="00D258A7"/>
    <w:rsid w:val="00D32293"/>
    <w:rsid w:val="00D32E5B"/>
    <w:rsid w:val="00D3608E"/>
    <w:rsid w:val="00D36635"/>
    <w:rsid w:val="00D40240"/>
    <w:rsid w:val="00D43FA7"/>
    <w:rsid w:val="00D442A3"/>
    <w:rsid w:val="00D4635B"/>
    <w:rsid w:val="00D5082F"/>
    <w:rsid w:val="00D509AF"/>
    <w:rsid w:val="00D55480"/>
    <w:rsid w:val="00D63653"/>
    <w:rsid w:val="00D654A4"/>
    <w:rsid w:val="00D66A50"/>
    <w:rsid w:val="00D67524"/>
    <w:rsid w:val="00D70178"/>
    <w:rsid w:val="00D71B62"/>
    <w:rsid w:val="00D72978"/>
    <w:rsid w:val="00D76C1B"/>
    <w:rsid w:val="00D84C7E"/>
    <w:rsid w:val="00D87049"/>
    <w:rsid w:val="00D963DD"/>
    <w:rsid w:val="00D968C8"/>
    <w:rsid w:val="00D96B03"/>
    <w:rsid w:val="00D96CB0"/>
    <w:rsid w:val="00D97302"/>
    <w:rsid w:val="00DA144E"/>
    <w:rsid w:val="00DA3B78"/>
    <w:rsid w:val="00DA5FC2"/>
    <w:rsid w:val="00DA7FED"/>
    <w:rsid w:val="00DB4CBC"/>
    <w:rsid w:val="00DB5055"/>
    <w:rsid w:val="00DB5616"/>
    <w:rsid w:val="00DB6337"/>
    <w:rsid w:val="00DC0CA6"/>
    <w:rsid w:val="00DC298E"/>
    <w:rsid w:val="00DD314D"/>
    <w:rsid w:val="00DD4909"/>
    <w:rsid w:val="00DD712C"/>
    <w:rsid w:val="00DE4E28"/>
    <w:rsid w:val="00DE7CA1"/>
    <w:rsid w:val="00DF113E"/>
    <w:rsid w:val="00DF653F"/>
    <w:rsid w:val="00E0109D"/>
    <w:rsid w:val="00E15347"/>
    <w:rsid w:val="00E22392"/>
    <w:rsid w:val="00E30296"/>
    <w:rsid w:val="00E43395"/>
    <w:rsid w:val="00E4367D"/>
    <w:rsid w:val="00E45EC4"/>
    <w:rsid w:val="00E56051"/>
    <w:rsid w:val="00E5625C"/>
    <w:rsid w:val="00E56372"/>
    <w:rsid w:val="00E60057"/>
    <w:rsid w:val="00E61EFA"/>
    <w:rsid w:val="00E6435B"/>
    <w:rsid w:val="00E672CB"/>
    <w:rsid w:val="00E679E8"/>
    <w:rsid w:val="00E73EA1"/>
    <w:rsid w:val="00E74839"/>
    <w:rsid w:val="00E833E5"/>
    <w:rsid w:val="00E84288"/>
    <w:rsid w:val="00E86DAE"/>
    <w:rsid w:val="00E8787F"/>
    <w:rsid w:val="00E91761"/>
    <w:rsid w:val="00E977AF"/>
    <w:rsid w:val="00EA5AD0"/>
    <w:rsid w:val="00EA6B3E"/>
    <w:rsid w:val="00EB1D75"/>
    <w:rsid w:val="00EB4CDE"/>
    <w:rsid w:val="00EC0AD2"/>
    <w:rsid w:val="00EC123F"/>
    <w:rsid w:val="00EC3C8F"/>
    <w:rsid w:val="00EC3E83"/>
    <w:rsid w:val="00EC4847"/>
    <w:rsid w:val="00ED053D"/>
    <w:rsid w:val="00EE0A7C"/>
    <w:rsid w:val="00EE0CCB"/>
    <w:rsid w:val="00EE1CC5"/>
    <w:rsid w:val="00EE374D"/>
    <w:rsid w:val="00EE3825"/>
    <w:rsid w:val="00EE51A1"/>
    <w:rsid w:val="00EE5BA8"/>
    <w:rsid w:val="00EE6765"/>
    <w:rsid w:val="00EF0B0D"/>
    <w:rsid w:val="00EF7D86"/>
    <w:rsid w:val="00F006B5"/>
    <w:rsid w:val="00F012AB"/>
    <w:rsid w:val="00F02F8B"/>
    <w:rsid w:val="00F03119"/>
    <w:rsid w:val="00F0416B"/>
    <w:rsid w:val="00F06B36"/>
    <w:rsid w:val="00F0775E"/>
    <w:rsid w:val="00F103C0"/>
    <w:rsid w:val="00F13E5C"/>
    <w:rsid w:val="00F25DBD"/>
    <w:rsid w:val="00F27B44"/>
    <w:rsid w:val="00F35BAE"/>
    <w:rsid w:val="00F44EA7"/>
    <w:rsid w:val="00F47B64"/>
    <w:rsid w:val="00F5323A"/>
    <w:rsid w:val="00F611C6"/>
    <w:rsid w:val="00F62027"/>
    <w:rsid w:val="00F667F5"/>
    <w:rsid w:val="00F70507"/>
    <w:rsid w:val="00F72972"/>
    <w:rsid w:val="00F7379F"/>
    <w:rsid w:val="00F80A14"/>
    <w:rsid w:val="00F80D28"/>
    <w:rsid w:val="00F81658"/>
    <w:rsid w:val="00F82C5C"/>
    <w:rsid w:val="00F927D4"/>
    <w:rsid w:val="00F950ED"/>
    <w:rsid w:val="00F97C2A"/>
    <w:rsid w:val="00FA42C7"/>
    <w:rsid w:val="00FA61F7"/>
    <w:rsid w:val="00FB1650"/>
    <w:rsid w:val="00FB365F"/>
    <w:rsid w:val="00FB3975"/>
    <w:rsid w:val="00FB41B6"/>
    <w:rsid w:val="00FB58C2"/>
    <w:rsid w:val="00FC0B84"/>
    <w:rsid w:val="00FC1DDB"/>
    <w:rsid w:val="00FC29C0"/>
    <w:rsid w:val="00FC4A31"/>
    <w:rsid w:val="00FC5FF0"/>
    <w:rsid w:val="00FD41D3"/>
    <w:rsid w:val="00FD651D"/>
    <w:rsid w:val="00FD659F"/>
    <w:rsid w:val="00FD6EB9"/>
    <w:rsid w:val="00FE6E4C"/>
    <w:rsid w:val="00FF3CEE"/>
    <w:rsid w:val="00FF5203"/>
    <w:rsid w:val="00FF7D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9F0D04"/>
  <w15:docId w15:val="{80DC95D8-F8A1-4D2E-8E64-02C091EE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link w:val="Heading2Char"/>
    <w:uiPriority w:val="9"/>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customStyle="1" w:styleId="Default">
    <w:name w:val="Default"/>
    <w:rsid w:val="00667DA9"/>
    <w:pPr>
      <w:autoSpaceDE w:val="0"/>
      <w:autoSpaceDN w:val="0"/>
      <w:adjustRightInd w:val="0"/>
    </w:pPr>
    <w:rPr>
      <w:rFonts w:ascii="Calibri" w:hAnsi="Calibri" w:cs="Calibri"/>
      <w:color w:val="000000"/>
      <w:sz w:val="24"/>
      <w:szCs w:val="24"/>
    </w:rPr>
  </w:style>
  <w:style w:type="paragraph" w:customStyle="1" w:styleId="BodyA">
    <w:name w:val="Body A"/>
    <w:uiPriority w:val="99"/>
    <w:rsid w:val="00C73FDC"/>
    <w:pPr>
      <w:pBdr>
        <w:top w:val="nil"/>
        <w:left w:val="nil"/>
        <w:bottom w:val="nil"/>
        <w:right w:val="nil"/>
        <w:between w:val="nil"/>
        <w:bar w:val="nil"/>
      </w:pBdr>
    </w:pPr>
    <w:rPr>
      <w:rFonts w:ascii="Cambria" w:eastAsia="Arial Unicode MS" w:hAnsi="Cambria"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None">
    <w:name w:val="None"/>
    <w:rsid w:val="00C73FDC"/>
  </w:style>
  <w:style w:type="character" w:customStyle="1" w:styleId="Hyperlink1">
    <w:name w:val="Hyperlink.1"/>
    <w:basedOn w:val="None"/>
    <w:rsid w:val="00C73FDC"/>
    <w:rPr>
      <w:rFonts w:ascii="Times New Roman" w:eastAsia="Times New Roman" w:hAnsi="Times New Roman" w:cs="Times New Roman"/>
      <w:outline w:val="0"/>
      <w:color w:val="0000FF"/>
      <w:u w:val="single" w:color="0000FF"/>
      <w:lang w:val="pt-PT"/>
    </w:rPr>
  </w:style>
  <w:style w:type="paragraph" w:styleId="NormalWeb">
    <w:name w:val="Normal (Web)"/>
    <w:basedOn w:val="Normal"/>
    <w:uiPriority w:val="99"/>
    <w:unhideWhenUsed/>
    <w:rsid w:val="005879B6"/>
    <w:pPr>
      <w:spacing w:before="120"/>
    </w:pPr>
    <w:rPr>
      <w:rFonts w:ascii="Verdana" w:eastAsia="Helvetica Neue" w:hAnsi="Verdana"/>
      <w:szCs w:val="24"/>
      <w:lang w:val="en"/>
    </w:rPr>
  </w:style>
  <w:style w:type="paragraph" w:customStyle="1" w:styleId="PageTitle">
    <w:name w:val="Page Title"/>
    <w:basedOn w:val="Title"/>
    <w:uiPriority w:val="99"/>
    <w:qFormat/>
    <w:rsid w:val="005879B6"/>
    <w:pPr>
      <w:keepNext/>
      <w:keepLines/>
      <w:widowControl w:val="0"/>
      <w:spacing w:after="120"/>
      <w:contextualSpacing w:val="0"/>
    </w:pPr>
    <w:rPr>
      <w:rFonts w:ascii="Verdana" w:eastAsia="Helvetica Neue" w:hAnsi="Verdana" w:cs="Helvetica Neue"/>
      <w:b/>
      <w:color w:val="000000" w:themeColor="text1"/>
      <w:spacing w:val="0"/>
      <w:kern w:val="0"/>
      <w:sz w:val="28"/>
      <w:szCs w:val="40"/>
      <w:lang w:val="en"/>
    </w:rPr>
  </w:style>
  <w:style w:type="character" w:customStyle="1" w:styleId="Instructions">
    <w:name w:val="Instructions"/>
    <w:basedOn w:val="DefaultParagraphFont"/>
    <w:uiPriority w:val="1"/>
    <w:qFormat/>
    <w:rsid w:val="005879B6"/>
    <w:rPr>
      <w:color w:val="FF0000"/>
    </w:rPr>
  </w:style>
  <w:style w:type="paragraph" w:styleId="Title">
    <w:name w:val="Title"/>
    <w:basedOn w:val="Normal"/>
    <w:next w:val="Normal"/>
    <w:link w:val="TitleChar"/>
    <w:qFormat/>
    <w:rsid w:val="005879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879B6"/>
    <w:rPr>
      <w:rFonts w:asciiTheme="majorHAnsi" w:eastAsiaTheme="majorEastAsia" w:hAnsiTheme="majorHAnsi" w:cstheme="majorBidi"/>
      <w:spacing w:val="-10"/>
      <w:kern w:val="28"/>
      <w:sz w:val="56"/>
      <w:szCs w:val="56"/>
      <w:lang w:eastAsia="en-US"/>
    </w:rPr>
  </w:style>
  <w:style w:type="paragraph" w:styleId="FootnoteText">
    <w:name w:val="footnote text"/>
    <w:basedOn w:val="Normal"/>
    <w:link w:val="FootnoteTextChar"/>
    <w:uiPriority w:val="99"/>
    <w:semiHidden/>
    <w:unhideWhenUsed/>
    <w:rsid w:val="00135815"/>
  </w:style>
  <w:style w:type="character" w:customStyle="1" w:styleId="FootnoteTextChar">
    <w:name w:val="Footnote Text Char"/>
    <w:basedOn w:val="DefaultParagraphFont"/>
    <w:link w:val="FootnoteText"/>
    <w:uiPriority w:val="99"/>
    <w:semiHidden/>
    <w:rsid w:val="00135815"/>
    <w:rPr>
      <w:lang w:eastAsia="en-US"/>
    </w:rPr>
  </w:style>
  <w:style w:type="character" w:customStyle="1" w:styleId="normaltextrun">
    <w:name w:val="normaltextrun"/>
    <w:basedOn w:val="DefaultParagraphFont"/>
    <w:rsid w:val="00E73EA1"/>
  </w:style>
  <w:style w:type="character" w:styleId="UnresolvedMention">
    <w:name w:val="Unresolved Mention"/>
    <w:basedOn w:val="DefaultParagraphFont"/>
    <w:uiPriority w:val="99"/>
    <w:semiHidden/>
    <w:unhideWhenUsed/>
    <w:rsid w:val="00917D52"/>
    <w:rPr>
      <w:color w:val="605E5C"/>
      <w:shd w:val="clear" w:color="auto" w:fill="E1DFDD"/>
    </w:rPr>
  </w:style>
  <w:style w:type="character" w:styleId="Strong">
    <w:name w:val="Strong"/>
    <w:basedOn w:val="DefaultParagraphFont"/>
    <w:uiPriority w:val="22"/>
    <w:qFormat/>
    <w:rsid w:val="00932A4D"/>
    <w:rPr>
      <w:b/>
      <w:bCs/>
    </w:rPr>
  </w:style>
  <w:style w:type="character" w:customStyle="1" w:styleId="Heading2Char">
    <w:name w:val="Heading 2 Char"/>
    <w:basedOn w:val="DefaultParagraphFont"/>
    <w:link w:val="Heading2"/>
    <w:uiPriority w:val="9"/>
    <w:rsid w:val="00932A4D"/>
    <w:rPr>
      <w:b/>
      <w:sz w:val="24"/>
      <w:lang w:eastAsia="en-US"/>
    </w:rPr>
  </w:style>
  <w:style w:type="paragraph" w:styleId="EndnoteText">
    <w:name w:val="endnote text"/>
    <w:basedOn w:val="Normal"/>
    <w:link w:val="EndnoteTextChar"/>
    <w:semiHidden/>
    <w:unhideWhenUsed/>
    <w:rsid w:val="00C37E8C"/>
  </w:style>
  <w:style w:type="character" w:customStyle="1" w:styleId="EndnoteTextChar">
    <w:name w:val="Endnote Text Char"/>
    <w:basedOn w:val="DefaultParagraphFont"/>
    <w:link w:val="EndnoteText"/>
    <w:semiHidden/>
    <w:rsid w:val="00C37E8C"/>
    <w:rPr>
      <w:lang w:eastAsia="en-US"/>
    </w:rPr>
  </w:style>
  <w:style w:type="character" w:styleId="EndnoteReference">
    <w:name w:val="endnote reference"/>
    <w:basedOn w:val="DefaultParagraphFont"/>
    <w:semiHidden/>
    <w:unhideWhenUsed/>
    <w:rsid w:val="00C37E8C"/>
    <w:rPr>
      <w:vertAlign w:val="superscript"/>
    </w:rPr>
  </w:style>
  <w:style w:type="character" w:customStyle="1" w:styleId="apple-converted-space">
    <w:name w:val="apple-converted-space"/>
    <w:basedOn w:val="DefaultParagraphFont"/>
    <w:rsid w:val="00C37E8C"/>
  </w:style>
  <w:style w:type="numbering" w:customStyle="1" w:styleId="CurrentList1">
    <w:name w:val="Current List1"/>
    <w:uiPriority w:val="99"/>
    <w:rsid w:val="00CC3E5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915933">
      <w:bodyDiv w:val="1"/>
      <w:marLeft w:val="0"/>
      <w:marRight w:val="0"/>
      <w:marTop w:val="0"/>
      <w:marBottom w:val="0"/>
      <w:divBdr>
        <w:top w:val="none" w:sz="0" w:space="0" w:color="auto"/>
        <w:left w:val="none" w:sz="0" w:space="0" w:color="auto"/>
        <w:bottom w:val="none" w:sz="0" w:space="0" w:color="auto"/>
        <w:right w:val="none" w:sz="0" w:space="0" w:color="auto"/>
      </w:divBdr>
    </w:div>
    <w:div w:id="603852901">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517810">
      <w:bodyDiv w:val="1"/>
      <w:marLeft w:val="0"/>
      <w:marRight w:val="0"/>
      <w:marTop w:val="0"/>
      <w:marBottom w:val="0"/>
      <w:divBdr>
        <w:top w:val="none" w:sz="0" w:space="0" w:color="auto"/>
        <w:left w:val="none" w:sz="0" w:space="0" w:color="auto"/>
        <w:bottom w:val="none" w:sz="0" w:space="0" w:color="auto"/>
        <w:right w:val="none" w:sz="0" w:space="0" w:color="auto"/>
      </w:divBdr>
    </w:div>
    <w:div w:id="171411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ghts-centric.educ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B59289BFBAB4F9FD152C776C60BDD" ma:contentTypeVersion="17" ma:contentTypeDescription="Create a new document." ma:contentTypeScope="" ma:versionID="dccbb2689d99145df5fd74f46dd7be90">
  <xsd:schema xmlns:xsd="http://www.w3.org/2001/XMLSchema" xmlns:xs="http://www.w3.org/2001/XMLSchema" xmlns:p="http://schemas.microsoft.com/office/2006/metadata/properties" xmlns:ns2="fa1020ff-48ad-4b90-98f4-7161a6f3b630" xmlns:ns3="985ec44e-1bab-4c0b-9df0-6ba128686fc9" xmlns:ns4="9c2e4527-2efa-4ade-b3d6-b2418af14986" targetNamespace="http://schemas.microsoft.com/office/2006/metadata/properties" ma:root="true" ma:fieldsID="9e96398efe826cd7f2928e816237a1f3" ns2:_="" ns3:_="" ns4:_="">
    <xsd:import namespace="fa1020ff-48ad-4b90-98f4-7161a6f3b630"/>
    <xsd:import namespace="985ec44e-1bab-4c0b-9df0-6ba128686fc9"/>
    <xsd:import namespace="9c2e4527-2efa-4ade-b3d6-b2418af149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4:SharedWithUsers" minOccurs="0"/>
                <xsd:element ref="ns4:SharedWithDetails" minOccurs="0"/>
                <xsd:element ref="ns2:Emailsubject" minOccurs="0"/>
                <xsd:element ref="ns2:Sen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020ff-48ad-4b90-98f4-7161a6f3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Emailsubject" ma:index="23" nillable="true" ma:displayName="Email subject" ma:format="Dropdown" ma:internalName="Emailsubject">
      <xsd:simpleType>
        <xsd:restriction base="dms:Note">
          <xsd:maxLength value="255"/>
        </xsd:restriction>
      </xsd:simpleType>
    </xsd:element>
    <xsd:element name="Sentby" ma:index="24" nillable="true" ma:displayName="Sent by" ma:format="Dropdown" ma:list="UserInfo" ma:SharePointGroup="0" ma:internalName="Sent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Original file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fa1020ff-48ad-4b90-98f4-7161a6f3b630">
      <Terms xmlns="http://schemas.microsoft.com/office/infopath/2007/PartnerControls"/>
    </lcf76f155ced4ddcb4097134ff3c332f>
    <Emailsubject xmlns="fa1020ff-48ad-4b90-98f4-7161a6f3b630" xsi:nil="true"/>
    <Sentby xmlns="fa1020ff-48ad-4b90-98f4-7161a6f3b630">
      <UserInfo>
        <DisplayName/>
        <AccountId xsi:nil="true"/>
        <AccountType/>
      </UserInfo>
    </Sentby>
  </documentManagement>
</p:properties>
</file>

<file path=customXml/itemProps1.xml><?xml version="1.0" encoding="utf-8"?>
<ds:datastoreItem xmlns:ds="http://schemas.openxmlformats.org/officeDocument/2006/customXml" ds:itemID="{80D38E3F-BF13-4EEB-9DE0-3FDC65F19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020ff-48ad-4b90-98f4-7161a6f3b630"/>
    <ds:schemaRef ds:uri="985ec44e-1bab-4c0b-9df0-6ba128686fc9"/>
    <ds:schemaRef ds:uri="9c2e4527-2efa-4ade-b3d6-b2418af14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B317D-7A2E-45A1-99A5-AF5C99E2DE93}">
  <ds:schemaRefs>
    <ds:schemaRef ds:uri="http://schemas.openxmlformats.org/officeDocument/2006/bibliography"/>
  </ds:schemaRefs>
</ds:datastoreItem>
</file>

<file path=customXml/itemProps3.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4.xml><?xml version="1.0" encoding="utf-8"?>
<ds:datastoreItem xmlns:ds="http://schemas.openxmlformats.org/officeDocument/2006/customXml" ds:itemID="{FE6F0B53-BB2C-412D-A42F-B9D82AE96D43}">
  <ds:schemaRefs>
    <ds:schemaRef ds:uri="http://schemas.microsoft.com/office/2006/metadata/properties"/>
    <ds:schemaRef ds:uri="http://schemas.microsoft.com/office/infopath/2007/PartnerControls"/>
    <ds:schemaRef ds:uri="985ec44e-1bab-4c0b-9df0-6ba128686fc9"/>
    <ds:schemaRef ds:uri="fa1020ff-48ad-4b90-98f4-7161a6f3b630"/>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5</Pages>
  <Words>1458</Words>
  <Characters>8064</Characters>
  <Application>Microsoft Office Word</Application>
  <DocSecurity>0</DocSecurity>
  <Lines>67</Lines>
  <Paragraphs>19</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9503</CharactersWithSpaces>
  <SharedDoc>false</SharedDoc>
  <HLinks>
    <vt:vector size="30" baseType="variant">
      <vt:variant>
        <vt:i4>6619195</vt:i4>
      </vt:variant>
      <vt:variant>
        <vt:i4>6</vt:i4>
      </vt:variant>
      <vt:variant>
        <vt:i4>0</vt:i4>
      </vt:variant>
      <vt:variant>
        <vt:i4>5</vt:i4>
      </vt:variant>
      <vt:variant>
        <vt:lpwstr>https://www.ohchr.org/EN/Issues/SRHRDefenders/Pages/SRHRDefendersIndex.aspx</vt:lpwstr>
      </vt:variant>
      <vt:variant>
        <vt:lpwstr/>
      </vt:variant>
      <vt:variant>
        <vt:i4>7209024</vt:i4>
      </vt:variant>
      <vt:variant>
        <vt:i4>3</vt:i4>
      </vt:variant>
      <vt:variant>
        <vt:i4>0</vt:i4>
      </vt:variant>
      <vt:variant>
        <vt:i4>5</vt:i4>
      </vt:variant>
      <vt:variant>
        <vt:lpwstr>mailto:defenders@ohchr.org</vt:lpwstr>
      </vt:variant>
      <vt:variant>
        <vt:lpwstr/>
      </vt:variant>
      <vt:variant>
        <vt:i4>7209024</vt:i4>
      </vt:variant>
      <vt:variant>
        <vt:i4>0</vt:i4>
      </vt:variant>
      <vt:variant>
        <vt:i4>0</vt:i4>
      </vt:variant>
      <vt:variant>
        <vt:i4>5</vt:i4>
      </vt:variant>
      <vt:variant>
        <vt:lpwstr>mailto:defenders@ohchr.org</vt:lpwstr>
      </vt:variant>
      <vt:variant>
        <vt:lpwstr/>
      </vt:variant>
      <vt:variant>
        <vt:i4>6946906</vt:i4>
      </vt:variant>
      <vt:variant>
        <vt:i4>3</vt:i4>
      </vt:variant>
      <vt:variant>
        <vt:i4>0</vt:i4>
      </vt:variant>
      <vt:variant>
        <vt:i4>5</vt:i4>
      </vt:variant>
      <vt:variant>
        <vt:lpwstr>mailto:registry@ohchr.org</vt:lpwstr>
      </vt:variant>
      <vt:variant>
        <vt:lpwstr/>
      </vt:variant>
      <vt:variant>
        <vt:i4>6946906</vt:i4>
      </vt:variant>
      <vt:variant>
        <vt:i4>0</vt:i4>
      </vt:variant>
      <vt:variant>
        <vt:i4>0</vt:i4>
      </vt:variant>
      <vt:variant>
        <vt:i4>5</vt:i4>
      </vt:variant>
      <vt:variant>
        <vt:lpwstr>mailto:registry@ohchr.org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Nieto Castaneda</dc:creator>
  <cp:keywords/>
  <cp:lastModifiedBy>Sifaan Zavahir</cp:lastModifiedBy>
  <cp:revision>5</cp:revision>
  <dcterms:created xsi:type="dcterms:W3CDTF">2026-01-24T20:49:00Z</dcterms:created>
  <dcterms:modified xsi:type="dcterms:W3CDTF">2026-02-01T12:10:00Z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0x010100F5AB59289BFBAB4F9FD152C776C60BDD</vt:lpwstr>
  </property>
  <property fmtid="{D5CDD505-2E9C-101B-9397-08002B2CF9AE}" pid="3" name="MediaServiceImageTags">
    <vt:lpwstr/>
  </property>
</Properties>
</file>