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361F" w14:textId="77777777" w:rsidR="00AC1396" w:rsidRDefault="00AC1396" w:rsidP="00AC1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sz w:val="24"/>
          <w:szCs w:val="24"/>
          <w:u w:val="single"/>
          <w:lang w:val="en-US"/>
        </w:rPr>
      </w:pPr>
      <w:r w:rsidRPr="00500AA8">
        <w:rPr>
          <w:sz w:val="24"/>
          <w:szCs w:val="24"/>
          <w:u w:val="single"/>
          <w:lang w:val="en-US"/>
        </w:rPr>
        <w:t xml:space="preserve">Name of the entity submitting information: </w:t>
      </w:r>
    </w:p>
    <w:p w14:paraId="49A4050C" w14:textId="77777777" w:rsidR="00AC1396" w:rsidRPr="00500AA8" w:rsidRDefault="00AC1396" w:rsidP="00AC1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sz w:val="24"/>
          <w:szCs w:val="24"/>
          <w:lang w:val="en-US"/>
        </w:rPr>
      </w:pPr>
    </w:p>
    <w:p w14:paraId="346289A2" w14:textId="77777777" w:rsidR="00AC1396" w:rsidRDefault="00AC1396" w:rsidP="00AC1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sz w:val="24"/>
          <w:szCs w:val="24"/>
          <w:lang w:val="en-US"/>
        </w:rPr>
      </w:pPr>
      <w:r w:rsidRPr="00500AA8">
        <w:rPr>
          <w:sz w:val="24"/>
          <w:szCs w:val="24"/>
          <w:lang w:val="en-US"/>
        </w:rPr>
        <w:t>European Democratic Education Community</w:t>
      </w:r>
    </w:p>
    <w:p w14:paraId="4346E863" w14:textId="77777777" w:rsidR="00AC1396" w:rsidRPr="00500AA8" w:rsidRDefault="00AC1396" w:rsidP="00AC1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sz w:val="24"/>
          <w:szCs w:val="24"/>
          <w:lang w:val="en-US"/>
        </w:rPr>
      </w:pPr>
    </w:p>
    <w:p w14:paraId="124E0452" w14:textId="77777777" w:rsidR="00AC1396" w:rsidRPr="00500AA8" w:rsidRDefault="00AC1396" w:rsidP="00AC1396">
      <w:pPr>
        <w:pStyle w:val="Heading4"/>
        <w:keepNext w:val="0"/>
        <w:keepLines w:val="0"/>
        <w:spacing w:before="240"/>
        <w:jc w:val="both"/>
        <w:rPr>
          <w:b/>
          <w:bCs/>
          <w:i w:val="0"/>
          <w:iCs w:val="0"/>
          <w:color w:val="000000" w:themeColor="text1"/>
          <w:sz w:val="22"/>
          <w:szCs w:val="22"/>
          <w:lang w:val="en-US"/>
        </w:rPr>
      </w:pPr>
      <w:r w:rsidRPr="00500AA8">
        <w:rPr>
          <w:b/>
          <w:bCs/>
          <w:color w:val="000000" w:themeColor="text1"/>
          <w:sz w:val="34"/>
          <w:szCs w:val="34"/>
          <w:lang w:val="en-US"/>
        </w:rPr>
        <w:t>I. Introduction</w:t>
      </w:r>
    </w:p>
    <w:p w14:paraId="560875E9" w14:textId="77777777" w:rsidR="00AC1396" w:rsidRPr="00500AA8" w:rsidRDefault="00AC1396" w:rsidP="00AC1396">
      <w:pPr>
        <w:spacing w:line="360" w:lineRule="auto"/>
        <w:jc w:val="both"/>
        <w:rPr>
          <w:sz w:val="24"/>
          <w:szCs w:val="24"/>
          <w:lang w:val="en-US"/>
        </w:rPr>
      </w:pPr>
    </w:p>
    <w:p w14:paraId="1DA0475C" w14:textId="77777777" w:rsidR="00AC1396" w:rsidRPr="00500AA8" w:rsidRDefault="00AC1396" w:rsidP="00AC1396">
      <w:pPr>
        <w:spacing w:line="360" w:lineRule="auto"/>
        <w:jc w:val="both"/>
        <w:rPr>
          <w:sz w:val="24"/>
          <w:szCs w:val="24"/>
          <w:lang w:val="en-US"/>
        </w:rPr>
      </w:pPr>
      <w:r w:rsidRPr="00500AA8">
        <w:rPr>
          <w:sz w:val="24"/>
          <w:szCs w:val="24"/>
          <w:lang w:val="en-US"/>
        </w:rPr>
        <w:t>We, the European Democratic Education Community (EUDEC), are an international network of approximately 100 democratic schools and a wider community of educators, researchers, and practitioners. While rooted primarily in Europe, EUDEC maintains active connections with democratic and learner-centered education movements worldwide.</w:t>
      </w:r>
    </w:p>
    <w:p w14:paraId="28DE547D" w14:textId="77777777" w:rsidR="00AC1396" w:rsidRPr="00500AA8" w:rsidRDefault="00AC1396" w:rsidP="00AC1396">
      <w:pPr>
        <w:spacing w:line="360" w:lineRule="auto"/>
        <w:jc w:val="both"/>
        <w:rPr>
          <w:sz w:val="24"/>
          <w:szCs w:val="24"/>
          <w:lang w:val="en-US"/>
        </w:rPr>
      </w:pPr>
    </w:p>
    <w:p w14:paraId="745BFE7F" w14:textId="77777777" w:rsidR="00AC1396" w:rsidRPr="00500AA8" w:rsidRDefault="00AC1396" w:rsidP="00AC1396">
      <w:pPr>
        <w:spacing w:line="360" w:lineRule="auto"/>
        <w:jc w:val="both"/>
        <w:rPr>
          <w:sz w:val="24"/>
          <w:szCs w:val="24"/>
          <w:lang w:val="en-US"/>
        </w:rPr>
      </w:pPr>
      <w:r w:rsidRPr="00500AA8">
        <w:rPr>
          <w:sz w:val="24"/>
          <w:szCs w:val="24"/>
          <w:lang w:val="en-US"/>
        </w:rPr>
        <w:t>Our understanding of education is grounded in international human rights law, particularly the rights to self-determination, democratic participation, dignity, and the full development of the human personality, as articulated in the Universal Declaration of Human Rights, the International Covenant on Economic, Social and Cultural Rights, and the Convention on the Rights of the Child. These principles shape both the aims and everyday practices of democratic education.</w:t>
      </w:r>
    </w:p>
    <w:p w14:paraId="083F4C18" w14:textId="77777777" w:rsidR="00AC1396" w:rsidRPr="00500AA8" w:rsidRDefault="00AC1396" w:rsidP="00AC1396">
      <w:pPr>
        <w:spacing w:line="360" w:lineRule="auto"/>
        <w:jc w:val="both"/>
        <w:rPr>
          <w:sz w:val="24"/>
          <w:szCs w:val="24"/>
          <w:lang w:val="en-US"/>
        </w:rPr>
      </w:pPr>
    </w:p>
    <w:p w14:paraId="7F56F53A" w14:textId="77777777" w:rsidR="00AC1396" w:rsidRDefault="00AC1396" w:rsidP="00AC1396">
      <w:pPr>
        <w:spacing w:line="360" w:lineRule="auto"/>
        <w:jc w:val="both"/>
        <w:rPr>
          <w:sz w:val="24"/>
          <w:szCs w:val="24"/>
          <w:lang w:val="en-US"/>
        </w:rPr>
      </w:pPr>
      <w:r w:rsidRPr="00500AA8">
        <w:rPr>
          <w:sz w:val="24"/>
          <w:szCs w:val="24"/>
          <w:lang w:val="en-US"/>
        </w:rPr>
        <w:t>For decades, members of our community have implemented these principles in daily educational practice, within schools where learners participate meaningfully in decision-making, shape their learning pathways, and experience education as a space of respect, inclusion, and empowerment. This long-standing practice-based experience informs our contribution to this call and offers concrete insights into how curriculum, pedagogy, and assessment can serve the right to education.</w:t>
      </w:r>
    </w:p>
    <w:p w14:paraId="460AC155" w14:textId="77777777" w:rsidR="00AC1396" w:rsidRDefault="00AC1396" w:rsidP="00AC1396">
      <w:pPr>
        <w:spacing w:line="360" w:lineRule="auto"/>
        <w:jc w:val="both"/>
        <w:rPr>
          <w:sz w:val="24"/>
          <w:szCs w:val="24"/>
          <w:lang w:val="en-US"/>
        </w:rPr>
      </w:pPr>
    </w:p>
    <w:p w14:paraId="25A7BF1C" w14:textId="77777777" w:rsidR="00AC1396" w:rsidRPr="00500AA8" w:rsidRDefault="00AC1396" w:rsidP="00AC1396">
      <w:pPr>
        <w:spacing w:line="360" w:lineRule="auto"/>
        <w:jc w:val="both"/>
        <w:rPr>
          <w:sz w:val="24"/>
          <w:szCs w:val="24"/>
          <w:lang w:val="en-US"/>
        </w:rPr>
      </w:pPr>
    </w:p>
    <w:p w14:paraId="2F5B57DC" w14:textId="77777777" w:rsidR="00AC1396" w:rsidRPr="00500AA8" w:rsidRDefault="00AC1396" w:rsidP="00AC1396">
      <w:pPr>
        <w:pStyle w:val="Heading2"/>
        <w:keepNext w:val="0"/>
        <w:keepLines w:val="0"/>
        <w:jc w:val="both"/>
        <w:rPr>
          <w:b/>
          <w:bCs/>
          <w:sz w:val="34"/>
          <w:szCs w:val="34"/>
          <w:lang w:val="en-US"/>
        </w:rPr>
      </w:pPr>
      <w:bookmarkStart w:id="0" w:name="_j5d6eibtofwh" w:colFirst="0" w:colLast="0"/>
      <w:bookmarkEnd w:id="0"/>
      <w:r w:rsidRPr="00500AA8">
        <w:rPr>
          <w:b/>
          <w:bCs/>
          <w:sz w:val="34"/>
          <w:szCs w:val="34"/>
          <w:lang w:val="en-US"/>
        </w:rPr>
        <w:t>II. Conceptual Framework: Education, Hidden Structures, and the Realization of Human Rights</w:t>
      </w:r>
    </w:p>
    <w:p w14:paraId="5E465FB9" w14:textId="77777777" w:rsidR="00AC1396" w:rsidRPr="00500AA8" w:rsidRDefault="00AC1396" w:rsidP="00AC1396">
      <w:pPr>
        <w:pStyle w:val="Heading4"/>
        <w:keepNext w:val="0"/>
        <w:keepLines w:val="0"/>
        <w:spacing w:before="240" w:after="240" w:line="360" w:lineRule="auto"/>
        <w:jc w:val="both"/>
        <w:rPr>
          <w:lang w:val="en-US"/>
        </w:rPr>
      </w:pPr>
      <w:r w:rsidRPr="00500AA8">
        <w:rPr>
          <w:color w:val="000000"/>
          <w:lang w:val="en-US"/>
        </w:rPr>
        <w:t xml:space="preserve">In examining curriculum, pedagogy, and assessment in relation to the right to education, it is essential to look beyond formal academic objectives and consider the underlying structures of conventional schooling systems. Alongside the official curriculum, educational environments transmit a “hidden curriculum” through organizational logic, power relations, and everyday </w:t>
      </w:r>
      <w:r w:rsidRPr="00500AA8">
        <w:rPr>
          <w:color w:val="000000"/>
          <w:lang w:val="en-US"/>
        </w:rPr>
        <w:lastRenderedPageBreak/>
        <w:t xml:space="preserve">practices. As a concept the "hidden curriculum" has been well defined in educational research and more specifically in international human rights interpretations, thereby identifying it as a factor that may undermine democratic practices and attitudes. </w:t>
      </w:r>
    </w:p>
    <w:p w14:paraId="4CD31D04" w14:textId="77777777" w:rsidR="00AC1396" w:rsidRPr="00500AA8" w:rsidRDefault="00AC1396" w:rsidP="00AC1396">
      <w:pPr>
        <w:pStyle w:val="Heading4"/>
        <w:keepNext w:val="0"/>
        <w:keepLines w:val="0"/>
        <w:spacing w:before="240" w:after="240" w:line="360" w:lineRule="auto"/>
        <w:jc w:val="both"/>
        <w:rPr>
          <w:lang w:val="en-US"/>
        </w:rPr>
      </w:pPr>
      <w:r w:rsidRPr="00500AA8">
        <w:rPr>
          <w:color w:val="000000"/>
          <w:lang w:val="en-US"/>
        </w:rPr>
        <w:t>From a human-rights perspective, education cannot be reduced to schooling, that is, reduced to the acquisition of prescribed knowledge or skills. Education is a formative social experience in which learners internalize norms, expectations, and beliefs. The right to education should therefore include not only access to schooling and the acquisition of predetermined knowledge necessary to access further education. It should also entail the right to educational environments that respect dignity, foster agency, and support the full development of the human personality</w:t>
      </w:r>
      <w:r w:rsidRPr="00500AA8">
        <w:rPr>
          <w:color w:val="000000"/>
          <w:vertAlign w:val="superscript"/>
          <w:lang w:val="en-US"/>
        </w:rPr>
        <w:footnoteReference w:id="1"/>
      </w:r>
      <w:r w:rsidRPr="00500AA8">
        <w:rPr>
          <w:color w:val="000000"/>
          <w:lang w:val="en-US"/>
        </w:rPr>
        <w:t xml:space="preserve">. </w:t>
      </w:r>
    </w:p>
    <w:p w14:paraId="5A0CF001" w14:textId="77777777" w:rsidR="00AC1396" w:rsidRPr="00500AA8" w:rsidRDefault="00AC1396" w:rsidP="00AC1396">
      <w:pPr>
        <w:pStyle w:val="Heading4"/>
        <w:keepNext w:val="0"/>
        <w:keepLines w:val="0"/>
        <w:spacing w:before="240" w:after="240" w:line="360" w:lineRule="auto"/>
        <w:jc w:val="both"/>
        <w:rPr>
          <w:lang w:val="en-US"/>
        </w:rPr>
      </w:pPr>
      <w:bookmarkStart w:id="1" w:name="_h08qz4ft60p5" w:colFirst="0" w:colLast="0"/>
      <w:bookmarkEnd w:id="1"/>
      <w:r w:rsidRPr="00500AA8">
        <w:rPr>
          <w:color w:val="000000"/>
          <w:lang w:val="en-US"/>
        </w:rPr>
        <w:t>In many contemporary education systems, particularly in industrialized contexts, schooling is structured around three dominant pillars: standardized curricula with age-segregated timetables and fixed time allocation; adult-centered, instructive pedagogy; and externally imposed evaluation and assessment. While these structures are often presented as neutral or necessary, research on student agency, participation, and well-being has shown that their cumulative effect can undermine key human rights principles.</w:t>
      </w:r>
      <w:r w:rsidRPr="00500AA8">
        <w:rPr>
          <w:color w:val="000000"/>
          <w:vertAlign w:val="superscript"/>
          <w:lang w:val="en-US"/>
        </w:rPr>
        <w:footnoteReference w:id="2"/>
      </w:r>
      <w:r w:rsidRPr="00500AA8">
        <w:rPr>
          <w:color w:val="000000"/>
          <w:lang w:val="en-US"/>
        </w:rPr>
        <w:t xml:space="preserve"> Learners frequently experience a lack of meaningful participation in decisions affecting their learning, limited autonomy, and constant external judgement of their performance. </w:t>
      </w:r>
    </w:p>
    <w:p w14:paraId="3D603021" w14:textId="77777777" w:rsidR="00AC1396" w:rsidRPr="00500AA8" w:rsidRDefault="00AC1396" w:rsidP="00AC1396">
      <w:pPr>
        <w:pStyle w:val="Heading4"/>
        <w:keepNext w:val="0"/>
        <w:keepLines w:val="0"/>
        <w:spacing w:before="240" w:after="240" w:line="360" w:lineRule="auto"/>
        <w:jc w:val="both"/>
        <w:rPr>
          <w:lang w:val="en-US"/>
        </w:rPr>
      </w:pPr>
      <w:bookmarkStart w:id="2" w:name="_rpxtp43zvco6" w:colFirst="0" w:colLast="0"/>
      <w:bookmarkEnd w:id="2"/>
      <w:r w:rsidRPr="00500AA8">
        <w:rPr>
          <w:color w:val="000000"/>
          <w:lang w:val="en-US"/>
        </w:rPr>
        <w:t>As a result, many young people internalize a sense of insufficiency, incapacity and dependency on external approval. Such experiences directly conflict with the rights to self-determination and democratic participation and risk eroding learners’ sense of agency and dignity, as highlighted by psychological research on motivation and autonomy as well as in international frameworks on meaningful participation.</w:t>
      </w:r>
      <w:r w:rsidRPr="00500AA8">
        <w:rPr>
          <w:color w:val="000000"/>
          <w:vertAlign w:val="superscript"/>
          <w:lang w:val="en-US"/>
        </w:rPr>
        <w:footnoteReference w:id="3"/>
      </w:r>
      <w:r w:rsidRPr="00500AA8">
        <w:rPr>
          <w:color w:val="000000"/>
          <w:lang w:val="en-US"/>
        </w:rPr>
        <w:t xml:space="preserve"> Even in some progressive models of participation remains symbolic rather than substantive, leaving fundamental power relations unchanged.</w:t>
      </w:r>
    </w:p>
    <w:p w14:paraId="2E232CB1" w14:textId="77777777" w:rsidR="00AC1396" w:rsidRPr="00500AA8" w:rsidRDefault="00AC1396" w:rsidP="00AC1396">
      <w:pPr>
        <w:pStyle w:val="Heading4"/>
        <w:keepNext w:val="0"/>
        <w:keepLines w:val="0"/>
        <w:spacing w:before="240" w:after="240" w:line="360" w:lineRule="auto"/>
        <w:jc w:val="both"/>
        <w:rPr>
          <w:lang w:val="en-US"/>
        </w:rPr>
      </w:pPr>
      <w:r w:rsidRPr="00500AA8">
        <w:rPr>
          <w:color w:val="000000"/>
          <w:lang w:val="en-US"/>
        </w:rPr>
        <w:lastRenderedPageBreak/>
        <w:t>These patterns are not merely pedagogical choices; they raise serious human-rights concerns. When educational structures systematically limit participation, autonomy, and self-directed learning, they may constitute practices that are incompatible with the spirit and purpose of the democratic functioning of society. This is particularly significant given well-established psychological research highlighting the importance of an internal locus of control, alongside international research linking authoritarian educational environments to political apathy and reduced civic engagement.</w:t>
      </w:r>
      <w:r w:rsidRPr="00500AA8">
        <w:rPr>
          <w:color w:val="000000"/>
          <w:vertAlign w:val="superscript"/>
          <w:lang w:val="en-US"/>
        </w:rPr>
        <w:footnoteReference w:id="4"/>
      </w:r>
      <w:r w:rsidRPr="00500AA8">
        <w:rPr>
          <w:color w:val="000000"/>
          <w:lang w:val="en-US"/>
        </w:rPr>
        <w:t xml:space="preserve"> </w:t>
      </w:r>
    </w:p>
    <w:p w14:paraId="16765FD0" w14:textId="77777777" w:rsidR="00AC1396" w:rsidRPr="00500AA8" w:rsidRDefault="00AC1396" w:rsidP="00AC1396">
      <w:pPr>
        <w:pStyle w:val="Heading4"/>
        <w:keepNext w:val="0"/>
        <w:keepLines w:val="0"/>
        <w:spacing w:before="240" w:after="240" w:line="360" w:lineRule="auto"/>
        <w:jc w:val="both"/>
        <w:rPr>
          <w:color w:val="000000"/>
          <w:lang w:val="en-US"/>
        </w:rPr>
      </w:pPr>
      <w:bookmarkStart w:id="3" w:name="_e4py82wr49ov" w:colFirst="0" w:colLast="0"/>
      <w:bookmarkEnd w:id="3"/>
      <w:r w:rsidRPr="00500AA8">
        <w:rPr>
          <w:color w:val="000000"/>
          <w:lang w:val="en-US"/>
        </w:rPr>
        <w:t>This leads to a critical question for education policy: whether public schooling  systems are willing to prioritize human rights, democratic values, and mental well-being, or whether they continue to reproduce hierarchical structures, competition, and social selection. Without addressing these underlying structures, discussions focused solely on didactical methods or curricular reform risk overlooking the root causes of many of those challenges currently faced by education systems, including disengagement, anxiety, and loss of trust in democratic institutions.</w:t>
      </w:r>
    </w:p>
    <w:p w14:paraId="56467C69" w14:textId="77777777" w:rsidR="00AC1396" w:rsidRPr="00500AA8" w:rsidRDefault="00AC1396" w:rsidP="00AC1396">
      <w:pPr>
        <w:pStyle w:val="Heading4"/>
        <w:keepNext w:val="0"/>
        <w:keepLines w:val="0"/>
        <w:spacing w:before="240" w:after="240" w:line="360" w:lineRule="auto"/>
        <w:jc w:val="both"/>
        <w:rPr>
          <w:lang w:val="en-US"/>
        </w:rPr>
      </w:pPr>
      <w:bookmarkStart w:id="4" w:name="_146oj15o4m75" w:colFirst="0" w:colLast="0"/>
      <w:bookmarkEnd w:id="4"/>
      <w:r w:rsidRPr="00500AA8">
        <w:rPr>
          <w:color w:val="000000"/>
          <w:lang w:val="en-US"/>
        </w:rPr>
        <w:t>Aligning curriculum, pedagogy, and assessment with the right to education requires an explicit commitment from educational structures to socialize children and young people into cultures of mutual respect, trust, cooperation, shared responsibility and solidarity.</w:t>
      </w:r>
      <w:r w:rsidRPr="00500AA8">
        <w:rPr>
          <w:color w:val="000000"/>
          <w:vertAlign w:val="superscript"/>
          <w:lang w:val="en-US"/>
        </w:rPr>
        <w:footnoteReference w:id="5"/>
      </w:r>
      <w:r w:rsidRPr="00500AA8">
        <w:rPr>
          <w:color w:val="000000"/>
          <w:lang w:val="en-US"/>
        </w:rPr>
        <w:t xml:space="preserve"> This can be done through participatory governance of learning environments, learner-initiated learning experiences, and circle practices to solve conflicts. Recognizing and addressing the hidden curriculum is therefore a necessary first step in ensuring that education genuinely serves as a means for the realization of human rights and democratic societies.</w:t>
      </w:r>
    </w:p>
    <w:p w14:paraId="691FBDC8" w14:textId="77777777" w:rsidR="00AC1396" w:rsidRPr="00500AA8" w:rsidRDefault="00AC1396" w:rsidP="00AC1396">
      <w:pPr>
        <w:rPr>
          <w:lang w:val="en-US"/>
        </w:rPr>
      </w:pPr>
    </w:p>
    <w:p w14:paraId="01C0823E" w14:textId="77777777" w:rsidR="00AC1396" w:rsidRPr="00500AA8" w:rsidRDefault="00AC1396" w:rsidP="00AC1396">
      <w:pPr>
        <w:pStyle w:val="Heading4"/>
        <w:keepNext w:val="0"/>
        <w:keepLines w:val="0"/>
        <w:spacing w:before="240"/>
        <w:jc w:val="both"/>
        <w:rPr>
          <w:b/>
          <w:bCs/>
          <w:color w:val="000000"/>
          <w:sz w:val="32"/>
          <w:szCs w:val="32"/>
          <w:lang w:val="en-US"/>
        </w:rPr>
      </w:pPr>
      <w:bookmarkStart w:id="5" w:name="_47v2ama63rcn" w:colFirst="0" w:colLast="0"/>
      <w:bookmarkEnd w:id="5"/>
      <w:r w:rsidRPr="00500AA8">
        <w:rPr>
          <w:b/>
          <w:bCs/>
          <w:color w:val="000000"/>
          <w:sz w:val="32"/>
          <w:szCs w:val="32"/>
          <w:u w:val="single"/>
          <w:lang w:val="en-US"/>
        </w:rPr>
        <w:t>III. Curriculum</w:t>
      </w:r>
      <w:r w:rsidRPr="00500AA8">
        <w:rPr>
          <w:b/>
          <w:bCs/>
          <w:color w:val="000000"/>
          <w:sz w:val="32"/>
          <w:szCs w:val="32"/>
          <w:lang w:val="en-US"/>
        </w:rPr>
        <w:t>: Learner Sovereignty and the Right to Meaningful Learning</w:t>
      </w:r>
    </w:p>
    <w:p w14:paraId="51513D2B"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 xml:space="preserve">From a right-to-education perspective, curriculum is not merely a collection of subjects or prescribed learning objectives, but a structural framework that shapes whose knowledge is valued, who holds decision-making power, and how learners experience </w:t>
      </w:r>
      <w:r w:rsidRPr="00500AA8">
        <w:rPr>
          <w:sz w:val="24"/>
          <w:szCs w:val="24"/>
          <w:lang w:val="en-US"/>
        </w:rPr>
        <w:lastRenderedPageBreak/>
        <w:t>learning itself. Curriculum design therefore plays a central role in the realization of human rights, including dignity, participation, non-discrimination, cultural identity, and the full development of the human personality.</w:t>
      </w:r>
    </w:p>
    <w:p w14:paraId="34A480C0"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In many education systems, curriculum is predominantly organized around predefined academic subjects, standardized content coverage. While disciplinary knowledge can offer valuable tools for understanding the world, its dominant position within curricula often marginalizes other forms of learning that are equally central to human development, such as artistic expression, craftsmanship, physical movement, play, care work, and community participation. From a human-rights perspective, this hierarchy of knowledge raises concerns regarding inclusion, cultural rights, and the recognition of diverse talents, interests, and ways of learning.</w:t>
      </w:r>
    </w:p>
    <w:p w14:paraId="25EC2656"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Democratic education practice and learner-centered research indicate that when learners are trusted to shape their learning pathways more extensively, motivation, well-being, and sustained engagement increase. In such contexts, learning is not fragmented into isolated subjects but emerges through meaningful activity, inquiry, and social interaction. Academic knowledge is accessed as a resource when it becomes relevant to learners’ self-chosen projects, rather than imposed as a prerequisite. This approach aligns with research emphasizing intrinsic motivation, internal locus of control, and psychological safety as key conditions for deep learning and mental well-being.</w:t>
      </w:r>
    </w:p>
    <w:p w14:paraId="6F8769E3"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While negotiated curriculum models that allocate protected time for learner-directed inquiry — such as the “20% time” proposal  — represent an important step towards greater agency within mainstream systems, democratic schools demonstrate that more extensive learner sovereignty is both feasible and beneficial.</w:t>
      </w:r>
      <w:r w:rsidRPr="00500AA8">
        <w:rPr>
          <w:sz w:val="24"/>
          <w:szCs w:val="24"/>
          <w:vertAlign w:val="superscript"/>
          <w:lang w:val="en-US"/>
        </w:rPr>
        <w:footnoteReference w:id="6"/>
      </w:r>
      <w:r w:rsidRPr="00500AA8">
        <w:rPr>
          <w:sz w:val="24"/>
          <w:szCs w:val="24"/>
          <w:lang w:val="en-US"/>
        </w:rPr>
        <w:t xml:space="preserve"> In these settings, learners may organize a significant portion of their learning around self-directed, collaborative, artistic, practical, or community-based activities, while engaging with academic disciplines in flexible and contextually meaningful ways. Partial models should therefore be understood as transitional strategies rather than normative limits on what rights-aligned education can achieve.</w:t>
      </w:r>
    </w:p>
    <w:p w14:paraId="38F60F98"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lastRenderedPageBreak/>
        <w:t>Curriculum, understood in this broader sense, becomes a flexible framework of opportunities, resources, and shared practices rather than a fixed sequence of subjects. Such frameworks enable learners to explore interests, develop competencies, and contribute to community life while respecting diversity and individual development. They also create space for epistemic plurality by recognizing multiple forms of knowledge and ways of making meaning, including those that are often excluded from traditional curricula.</w:t>
      </w:r>
    </w:p>
    <w:p w14:paraId="52C103DF"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Meaningful learner participation in curriculum decisions is a central mechanism for operationalizing the right to participation in education. Research on student voice consistently shows that consultation alone is insufficient. Rights-aligned curricula require structures through which learners can exercise real influence over themes, projects, and learning processes. Through such participation, learners not only acquire knowledge but also experience democracy as a lived practice.</w:t>
      </w:r>
    </w:p>
    <w:p w14:paraId="51BE710E" w14:textId="77777777" w:rsidR="00AC1396" w:rsidRPr="00500AA8" w:rsidRDefault="00AC1396" w:rsidP="00AC1396">
      <w:pPr>
        <w:spacing w:before="240" w:after="240"/>
        <w:jc w:val="both"/>
        <w:rPr>
          <w:i/>
          <w:iCs/>
          <w:lang w:val="en-US"/>
        </w:rPr>
      </w:pPr>
    </w:p>
    <w:p w14:paraId="12040745" w14:textId="77777777" w:rsidR="00AC1396" w:rsidRPr="00500AA8" w:rsidRDefault="00AC1396" w:rsidP="00AC1396">
      <w:pPr>
        <w:pStyle w:val="Heading4"/>
        <w:keepNext w:val="0"/>
        <w:keepLines w:val="0"/>
        <w:spacing w:before="240"/>
        <w:jc w:val="both"/>
        <w:rPr>
          <w:b/>
          <w:bCs/>
          <w:color w:val="000000"/>
          <w:sz w:val="32"/>
          <w:szCs w:val="32"/>
          <w:lang w:val="en-US"/>
        </w:rPr>
      </w:pPr>
      <w:bookmarkStart w:id="6" w:name="_ihfms7tnbd41" w:colFirst="0" w:colLast="0"/>
      <w:bookmarkEnd w:id="6"/>
      <w:r w:rsidRPr="00500AA8">
        <w:rPr>
          <w:b/>
          <w:bCs/>
          <w:color w:val="000000"/>
          <w:sz w:val="32"/>
          <w:szCs w:val="32"/>
          <w:u w:val="single"/>
          <w:lang w:val="en-US"/>
        </w:rPr>
        <w:t xml:space="preserve">IV. Pedagogy: </w:t>
      </w:r>
      <w:r w:rsidRPr="00500AA8">
        <w:rPr>
          <w:b/>
          <w:bCs/>
          <w:color w:val="000000"/>
          <w:sz w:val="32"/>
          <w:szCs w:val="32"/>
          <w:lang w:val="en-US"/>
        </w:rPr>
        <w:t>Learning Relationships that Enable Agency, Well-Being, and Democratic Participation</w:t>
      </w:r>
    </w:p>
    <w:p w14:paraId="3F97AC19"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If curriculum defines the structural conditions of learning, pedagogy determines how these conditions are lived in everyday educational practice. From a human-rights perspective, pedagogy is not neutral: the ways adults relate to learners, distribute power, and respond to autonomy directly affect dignity, participation, mental well-being, and the development of democratic capacities. Pedagogical approaches therefore play a decisive role in whether education supports or undermines the right to education.</w:t>
      </w:r>
    </w:p>
    <w:p w14:paraId="38B2003E"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Democratic education practice emphasizes pedagogies that recognize learners as active agents rather than passive recipients of instruction. Research on motivation and learning consistently shows that environments supporting autonomy, competence, and relatedness foster deeper engagement, intrinsic motivation, and psychological well-being.</w:t>
      </w:r>
      <w:r w:rsidRPr="00500AA8">
        <w:rPr>
          <w:sz w:val="24"/>
          <w:szCs w:val="24"/>
          <w:vertAlign w:val="superscript"/>
          <w:lang w:val="en-US"/>
        </w:rPr>
        <w:footnoteReference w:id="7"/>
      </w:r>
      <w:r w:rsidRPr="00500AA8">
        <w:rPr>
          <w:sz w:val="24"/>
          <w:szCs w:val="24"/>
          <w:lang w:val="en-US"/>
        </w:rPr>
        <w:t xml:space="preserve"> In contrast, pedagogies centered on compliance and external reward or </w:t>
      </w:r>
      <w:r w:rsidRPr="00500AA8">
        <w:rPr>
          <w:sz w:val="24"/>
          <w:szCs w:val="24"/>
          <w:lang w:val="en-US"/>
        </w:rPr>
        <w:lastRenderedPageBreak/>
        <w:t>punishment tend to weaken learners’ sense of agency and internal motivation. Rights-aligned pedagogy therefore prioritizes learning relationships grounded in trust, respect, and shared responsibility.</w:t>
      </w:r>
    </w:p>
    <w:p w14:paraId="1FC0171A"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Therefore, a central pedagogical principle in democratic schools is the creation of safe relational environments. Learners can only explore, take risks, and engage meaningfully with learning when they feel emotionally safe. Such safety is not achieved through surveillance, but through stable relationships, clear and collectively agreed norms, and the experience of being heard. Democratic schools invest significant pedagogical attention in relationship-building, conflict resolution, and reflective adult practice, recognizing that education begins with the ongoing “self-education” of educators themselves.</w:t>
      </w:r>
    </w:p>
    <w:p w14:paraId="27430C59"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Participation is operationalized through shared decision-making structures embedded in everyday school life. Regular school assemblies, class meetings, and a variety of committees or working groups — such as justice, welcome, or excursion committees — provide concrete spaces where learners and adults deliberate, make decisions, and take responsibility together. These practices move participation beyond consultation towards lived democratic experience, allowing learners to develop empathy, negotiation skills, accountability, and a sense of belonging within a community.</w:t>
      </w:r>
    </w:p>
    <w:p w14:paraId="523D8C3F"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Pedagogies in democratic education also challenge age-based hierarchies and rigid grouping practices. Open, inclusive, and mixed-age learning environments enable peer learning, mutual support, and diverse forms of contribution. Research and practice indicate that such environments foster social learning, cooperation, and confidence, while reducing competition and comparison.</w:t>
      </w:r>
      <w:r w:rsidRPr="00500AA8">
        <w:rPr>
          <w:sz w:val="24"/>
          <w:szCs w:val="24"/>
          <w:vertAlign w:val="superscript"/>
          <w:lang w:val="en-US"/>
        </w:rPr>
        <w:footnoteReference w:id="8"/>
      </w:r>
      <w:r w:rsidRPr="00500AA8">
        <w:rPr>
          <w:sz w:val="24"/>
          <w:szCs w:val="24"/>
          <w:lang w:val="en-US"/>
        </w:rPr>
        <w:t xml:space="preserve"> Learners encounter difference as a normal condition of community life, strengthening inclusion and social cohesion.</w:t>
      </w:r>
    </w:p>
    <w:p w14:paraId="1E3A2587"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 xml:space="preserve">The role of adults within these pedagogical settings shifts from authority figures enforcing compliance to mentors supporting learning processes. Educators guide, accompany, and offer expertise when invited or when support is needed, while respecting learners’ ownership of their learning. This mentoring role supports the </w:t>
      </w:r>
      <w:r w:rsidRPr="00500AA8">
        <w:rPr>
          <w:sz w:val="24"/>
          <w:szCs w:val="24"/>
          <w:lang w:val="en-US"/>
        </w:rPr>
        <w:lastRenderedPageBreak/>
        <w:t>development of internal locus of control, as learners experience themselves as capable of making decisions, overcoming challenges, and shaping their own learning trajectories.</w:t>
      </w:r>
    </w:p>
    <w:p w14:paraId="37BE8150"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How teachers are trained, supported, and enabled to implement learner-centered, inclusive, and participatory pedagogies is therefore a central question for the realization of the right to education. Evidence synthesized in learner-centered education research highlights that such pedagogies are not primarily a matter of individual teacher disposition, but of training, mentoring, and working conditions. Democratic education practice emphasizes ongoing professional development focused on relational skills, reflective practice, and understanding psychological foundations of learning, including intrinsic motivation, internal locus of control, and the role of safety and belonging. Educators are supported through peer mentoring, collaborative reflection, and shared responsibility within learning communities, rather than isolated classroom practice.</w:t>
      </w:r>
    </w:p>
    <w:p w14:paraId="2273A8AA"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Democratic schools demonstrate that when educators are trusted, mentored, and supported within collaborative professional cultures, learner-centered and inclusive pedagogies become both sustainable and scalable. These experiences suggest that investing in teacher education, mentoring systems, and well-being-oriented professional development is a key condition for realizing the right to education through pedagogy.</w:t>
      </w:r>
    </w:p>
    <w:p w14:paraId="4A1A49FD" w14:textId="77777777" w:rsidR="00AC1396" w:rsidRPr="00500AA8" w:rsidRDefault="00AC1396" w:rsidP="00AC1396">
      <w:pPr>
        <w:pStyle w:val="Heading2"/>
        <w:keepNext w:val="0"/>
        <w:keepLines w:val="0"/>
        <w:jc w:val="both"/>
        <w:rPr>
          <w:b/>
          <w:bCs/>
          <w:color w:val="000000"/>
          <w:sz w:val="26"/>
          <w:szCs w:val="26"/>
          <w:lang w:val="en-US"/>
        </w:rPr>
      </w:pPr>
      <w:bookmarkStart w:id="7" w:name="_w16tpgkxdmex" w:colFirst="0" w:colLast="0"/>
      <w:bookmarkEnd w:id="7"/>
      <w:r w:rsidRPr="00500AA8">
        <w:rPr>
          <w:b/>
          <w:bCs/>
          <w:sz w:val="34"/>
          <w:szCs w:val="34"/>
          <w:u w:val="single"/>
          <w:lang w:val="en-US"/>
        </w:rPr>
        <w:t>V. Assessment:</w:t>
      </w:r>
      <w:r w:rsidRPr="00500AA8">
        <w:rPr>
          <w:b/>
          <w:bCs/>
          <w:sz w:val="34"/>
          <w:szCs w:val="34"/>
          <w:lang w:val="en-US"/>
        </w:rPr>
        <w:t xml:space="preserve"> Supporting Dignity, Agency, and Meaningful Learning</w:t>
      </w:r>
    </w:p>
    <w:p w14:paraId="6D954CA5"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Assessment plays a decisive role in shaping learners’ experiences of education, as it communicates what is valued, who holds authority, and how success or failure is defined. From a human-rights perspective, assessment practices must therefore be examined not only for their technical validity, but for their impact on dignity, participation, non-discrimination, and mental well-being. In line with international human rights law, assessment should support the holistic development of learners’ abilities, talents, and sense of self, rather than function primarily as a mechanism of selection or exclusion.</w:t>
      </w:r>
    </w:p>
    <w:p w14:paraId="13AA38B3"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lastRenderedPageBreak/>
        <w:t>In many education systems, assessment is dominated by high-stakes testing, grading, and external evaluation. While such practices are often justified in the name of accountability, they can unintentionally undermine key dimensions of the right to education. Research and practice indicate that frequent comparison, ranking, and fear of failure can erode learners’ sense of self-worth, reduce intrinsic motivation, and discourage risk-taking and creativity.</w:t>
      </w:r>
      <w:r w:rsidRPr="00500AA8">
        <w:rPr>
          <w:sz w:val="24"/>
          <w:szCs w:val="24"/>
          <w:vertAlign w:val="superscript"/>
          <w:lang w:val="en-US"/>
        </w:rPr>
        <w:footnoteReference w:id="9"/>
      </w:r>
      <w:r w:rsidRPr="00500AA8">
        <w:rPr>
          <w:sz w:val="24"/>
          <w:szCs w:val="24"/>
          <w:lang w:val="en-US"/>
        </w:rPr>
        <w:t xml:space="preserve"> For many learners, particularly those with diverse learning profiles, such assessment regimes contribute to disengagement and anxiety rather than meaningful learning.</w:t>
      </w:r>
    </w:p>
    <w:p w14:paraId="044DEDF1"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Democratic education approaches emphasize assessment practices that are formative, reflective, and participatory. Rather than serving primarily as mechanisms of control or selection, assessment is understood as an ongoing process that supports learning, self-understanding, and growth. Common practices include narrative feedback, self-assessment, peer reflection, and dialogue-based evaluation, all of which enable learners to develop awareness of their learning processes, strengths, and challenges.</w:t>
      </w:r>
    </w:p>
    <w:p w14:paraId="3CADF1E5"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In contexts where learners engage in self-directed or project-based learning — such as those enabled through extended learner-chosen curriculum time — assessment naturally shifts towards qualitative and process-oriented forms. Projects, artistic work, community engagement, or collaborative inquiry can be assessed through documentation, reflection, presentations, and shared criteria developed with learners. Such practices recognize diverse forms of achievement and allow learners to demonstrate learning in ways that are meaningful to them, supporting inclusion without reliance on standardized measures.</w:t>
      </w:r>
    </w:p>
    <w:p w14:paraId="7825B2A2"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Teacher autonomy is a key enabling factor for rights-aligned assessment. Educators are trusted to adapt assessment methods to learners’ interests, developmental stages, and learning pathways, using tools such as portfolios, exhibitions of learning, performance tasks, learning narratives, and peer feedback. Transparency and dialogue around expectations ensure fairness while avoiding unnecessary pressure.</w:t>
      </w:r>
    </w:p>
    <w:p w14:paraId="5942E5E3"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lastRenderedPageBreak/>
        <w:t>Importantly, rights-aligned assessment does not imply the absence of standards or expectations. Rather, it requires transparency, dialogue, and proportionality. Learners should understand assessment criteria, participate in shaping them where appropriate, and receive feedback that supports improvement rather than comparison. This approach is particularly relevant in democratic learning environments, where assessment is embedded within relationships of trust and shared responsibility.</w:t>
      </w:r>
    </w:p>
    <w:p w14:paraId="767A2B06" w14:textId="77777777" w:rsidR="00AC1396" w:rsidRDefault="00AC1396" w:rsidP="00AC1396">
      <w:pPr>
        <w:spacing w:before="240" w:after="240" w:line="360" w:lineRule="auto"/>
        <w:jc w:val="both"/>
        <w:rPr>
          <w:sz w:val="24"/>
          <w:szCs w:val="24"/>
          <w:lang w:val="en-US"/>
        </w:rPr>
      </w:pPr>
      <w:r w:rsidRPr="00500AA8">
        <w:rPr>
          <w:sz w:val="24"/>
          <w:szCs w:val="24"/>
          <w:lang w:val="en-US"/>
        </w:rPr>
        <w:t>Reorienting assessment towards formative and participatory practices is therefore essential for aligning education with human rights principles. Without such reorientation, learner-centered curricula and pedagogies risk being undermined by assessment systems that reproduce hierarchy, fear, and exclusion</w:t>
      </w:r>
      <w:bookmarkStart w:id="8" w:name="_tm6e86y9ad3y" w:colFirst="0" w:colLast="0"/>
      <w:bookmarkStart w:id="9" w:name="_q8sgqgjw5nib" w:colFirst="0" w:colLast="0"/>
      <w:bookmarkEnd w:id="8"/>
      <w:bookmarkEnd w:id="9"/>
      <w:r>
        <w:rPr>
          <w:sz w:val="24"/>
          <w:szCs w:val="24"/>
          <w:lang w:val="en-US"/>
        </w:rPr>
        <w:t>.</w:t>
      </w:r>
    </w:p>
    <w:p w14:paraId="47D18528" w14:textId="77777777" w:rsidR="00AC1396" w:rsidRDefault="00AC1396" w:rsidP="00AC1396">
      <w:pPr>
        <w:spacing w:before="240" w:after="240" w:line="360" w:lineRule="auto"/>
        <w:jc w:val="both"/>
        <w:rPr>
          <w:sz w:val="24"/>
          <w:szCs w:val="24"/>
          <w:lang w:val="en-US"/>
        </w:rPr>
      </w:pPr>
    </w:p>
    <w:p w14:paraId="4BEE32A9" w14:textId="77777777" w:rsidR="00AC1396" w:rsidRDefault="00AC1396" w:rsidP="00AC1396">
      <w:pPr>
        <w:spacing w:before="240" w:after="240" w:line="360" w:lineRule="auto"/>
        <w:jc w:val="both"/>
        <w:rPr>
          <w:sz w:val="24"/>
          <w:szCs w:val="24"/>
          <w:lang w:val="en-US"/>
        </w:rPr>
      </w:pPr>
    </w:p>
    <w:p w14:paraId="0C1A6327" w14:textId="77777777" w:rsidR="00AC1396" w:rsidRDefault="00AC1396" w:rsidP="00AC1396">
      <w:pPr>
        <w:spacing w:before="240" w:after="240" w:line="360" w:lineRule="auto"/>
        <w:jc w:val="both"/>
        <w:rPr>
          <w:sz w:val="24"/>
          <w:szCs w:val="24"/>
          <w:lang w:val="en-US"/>
        </w:rPr>
      </w:pPr>
    </w:p>
    <w:p w14:paraId="6B5A75E7" w14:textId="77777777" w:rsidR="00AC1396" w:rsidRDefault="00AC1396" w:rsidP="00AC1396">
      <w:pPr>
        <w:spacing w:before="240" w:after="240" w:line="360" w:lineRule="auto"/>
        <w:jc w:val="both"/>
        <w:rPr>
          <w:sz w:val="24"/>
          <w:szCs w:val="24"/>
          <w:lang w:val="en-US"/>
        </w:rPr>
      </w:pPr>
    </w:p>
    <w:p w14:paraId="086A1B9A" w14:textId="77777777" w:rsidR="00AC1396" w:rsidRDefault="00AC1396" w:rsidP="00AC1396">
      <w:pPr>
        <w:spacing w:before="240" w:after="240" w:line="360" w:lineRule="auto"/>
        <w:jc w:val="both"/>
        <w:rPr>
          <w:sz w:val="24"/>
          <w:szCs w:val="24"/>
          <w:lang w:val="en-US"/>
        </w:rPr>
      </w:pPr>
    </w:p>
    <w:p w14:paraId="69B1A002" w14:textId="77777777" w:rsidR="00AC1396" w:rsidRPr="00500AA8" w:rsidRDefault="00AC1396" w:rsidP="00AC1396">
      <w:pPr>
        <w:spacing w:before="240" w:after="240" w:line="360" w:lineRule="auto"/>
        <w:jc w:val="both"/>
        <w:rPr>
          <w:lang w:val="en-US"/>
        </w:rPr>
      </w:pPr>
    </w:p>
    <w:p w14:paraId="5E546E5A" w14:textId="77777777" w:rsidR="00AC1396" w:rsidRPr="00500AA8" w:rsidRDefault="00AC1396" w:rsidP="00AC1396">
      <w:pPr>
        <w:pStyle w:val="Heading2"/>
        <w:keepNext w:val="0"/>
        <w:keepLines w:val="0"/>
        <w:jc w:val="both"/>
        <w:rPr>
          <w:b/>
          <w:bCs/>
          <w:sz w:val="36"/>
          <w:szCs w:val="36"/>
          <w:lang w:val="en-US"/>
        </w:rPr>
      </w:pPr>
      <w:bookmarkStart w:id="10" w:name="_ugmyvhlfx92i" w:colFirst="0" w:colLast="0"/>
      <w:bookmarkEnd w:id="10"/>
      <w:r w:rsidRPr="00500AA8">
        <w:rPr>
          <w:b/>
          <w:bCs/>
          <w:sz w:val="36"/>
          <w:szCs w:val="36"/>
          <w:u w:val="single"/>
          <w:lang w:val="en-US"/>
        </w:rPr>
        <w:t>VII. Policy Recommendations:</w:t>
      </w:r>
      <w:r w:rsidRPr="00500AA8">
        <w:rPr>
          <w:b/>
          <w:bCs/>
          <w:sz w:val="36"/>
          <w:szCs w:val="36"/>
          <w:lang w:val="en-US"/>
        </w:rPr>
        <w:t xml:space="preserve"> Advancing Rights-Aligned Education Systems</w:t>
      </w:r>
    </w:p>
    <w:p w14:paraId="681A55AC"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To align curriculum, pedagogy, and assessment with the right to education, policy responses must move beyond isolated reforms and address the underlying structures that shape learning environments. Based on evidence from democratic education practice, the following recommendations outline concrete steps for progressive realization of rights-aligned education.</w:t>
      </w:r>
    </w:p>
    <w:p w14:paraId="5555A5AA" w14:textId="77777777" w:rsidR="00AC1396" w:rsidRPr="00500AA8" w:rsidRDefault="00AC1396" w:rsidP="00AC1396">
      <w:pPr>
        <w:pStyle w:val="Heading3"/>
        <w:keepNext w:val="0"/>
        <w:keepLines w:val="0"/>
        <w:spacing w:before="280"/>
        <w:jc w:val="both"/>
        <w:rPr>
          <w:b/>
          <w:bCs/>
          <w:color w:val="000000"/>
          <w:lang w:val="en-US"/>
        </w:rPr>
      </w:pPr>
      <w:bookmarkStart w:id="11" w:name="_k44ts2fxp1o6" w:colFirst="0" w:colLast="0"/>
      <w:bookmarkEnd w:id="11"/>
      <w:r w:rsidRPr="00500AA8">
        <w:rPr>
          <w:b/>
          <w:bCs/>
          <w:color w:val="000000"/>
          <w:lang w:val="en-US"/>
        </w:rPr>
        <w:t>1. Recognize learner participation and self-determination as core educational principles</w:t>
      </w:r>
    </w:p>
    <w:p w14:paraId="51C1401A"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 xml:space="preserve">States should explicitly recognize learners as rights-holders with the right to meaningful participation in decisions affecting their education. Education policies </w:t>
      </w:r>
      <w:r w:rsidRPr="00500AA8">
        <w:rPr>
          <w:sz w:val="24"/>
          <w:szCs w:val="24"/>
          <w:lang w:val="en-US"/>
        </w:rPr>
        <w:lastRenderedPageBreak/>
        <w:t>should affirm self-determination and democratic participation as guiding principles in curriculum design, school governance, and assessment practices.</w:t>
      </w:r>
    </w:p>
    <w:p w14:paraId="7DC4FB03" w14:textId="77777777" w:rsidR="00AC1396" w:rsidRPr="00500AA8" w:rsidRDefault="00AC1396" w:rsidP="00AC1396">
      <w:pPr>
        <w:pStyle w:val="Heading3"/>
        <w:keepNext w:val="0"/>
        <w:keepLines w:val="0"/>
        <w:spacing w:before="280"/>
        <w:jc w:val="both"/>
        <w:rPr>
          <w:b/>
          <w:bCs/>
          <w:color w:val="000000"/>
          <w:lang w:val="en-US"/>
        </w:rPr>
      </w:pPr>
      <w:bookmarkStart w:id="12" w:name="_itbzkd66x7xp" w:colFirst="0" w:colLast="0"/>
      <w:bookmarkEnd w:id="12"/>
      <w:r w:rsidRPr="00500AA8">
        <w:rPr>
          <w:b/>
          <w:bCs/>
          <w:color w:val="000000"/>
          <w:lang w:val="en-US"/>
        </w:rPr>
        <w:t>2. Enable curriculum flexibility and learner-directed learning pathways</w:t>
      </w:r>
    </w:p>
    <w:p w14:paraId="08DE8C91"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Education systems should provide schools with the autonomy to introduce flexible curriculum frameworks that allow learners to shape learning pathways according to their interests, strengths, and contexts. This includes enabling substantial learner-directed curriculum time — whether as protected inquiry time, project-based learning, or more comprehensive self-directed approaches — and recognizing arts, crafts, physical activity, care work, and community engagement as legitimate forms of learning alongside academic disciplines.</w:t>
      </w:r>
    </w:p>
    <w:p w14:paraId="5CC34E7F" w14:textId="77777777" w:rsidR="00AC1396" w:rsidRPr="00500AA8" w:rsidRDefault="00AC1396" w:rsidP="00AC1396">
      <w:pPr>
        <w:pStyle w:val="Heading3"/>
        <w:keepNext w:val="0"/>
        <w:keepLines w:val="0"/>
        <w:spacing w:before="280"/>
        <w:jc w:val="both"/>
        <w:rPr>
          <w:b/>
          <w:bCs/>
          <w:color w:val="000000"/>
          <w:lang w:val="en-US"/>
        </w:rPr>
      </w:pPr>
      <w:bookmarkStart w:id="13" w:name="_8ym3hv4wtbwn" w:colFirst="0" w:colLast="0"/>
      <w:bookmarkEnd w:id="13"/>
      <w:r w:rsidRPr="00500AA8">
        <w:rPr>
          <w:b/>
          <w:bCs/>
          <w:color w:val="000000"/>
          <w:lang w:val="en-US"/>
        </w:rPr>
        <w:t>3. Support participatory governance in educational institutions</w:t>
      </w:r>
    </w:p>
    <w:p w14:paraId="4BA74457"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Schools should be encouraged to establish democratic opportunities for students such as school assemblies, councils, and committees in which learners and adults share responsibility for decision-making. Participation should be substantive rather than symbolic, enabling learners to experience democracy as a lived practice within their educational communities.</w:t>
      </w:r>
    </w:p>
    <w:p w14:paraId="6AF58E27" w14:textId="77777777" w:rsidR="00AC1396" w:rsidRPr="00500AA8" w:rsidRDefault="00AC1396" w:rsidP="00AC1396">
      <w:pPr>
        <w:pStyle w:val="Heading3"/>
        <w:keepNext w:val="0"/>
        <w:keepLines w:val="0"/>
        <w:spacing w:before="280"/>
        <w:jc w:val="both"/>
        <w:rPr>
          <w:b/>
          <w:bCs/>
          <w:color w:val="000000"/>
          <w:lang w:val="en-US"/>
        </w:rPr>
      </w:pPr>
      <w:bookmarkStart w:id="14" w:name="_48vniv2hpbe4" w:colFirst="0" w:colLast="0"/>
      <w:bookmarkEnd w:id="14"/>
      <w:r w:rsidRPr="00500AA8">
        <w:rPr>
          <w:b/>
          <w:bCs/>
          <w:color w:val="000000"/>
          <w:lang w:val="en-US"/>
        </w:rPr>
        <w:t>4. Promote pedagogies that prioritize safety, autonomy, and relational learning</w:t>
      </w:r>
    </w:p>
    <w:p w14:paraId="695B521F"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Teacher education and professional development should emphasize pedagogical approaches that allow teachers to become learning facilitators fostering psychological safety, intrinsic motivation, and supportive learning relationships. This includes preparing educators for mentoring roles, reflective practice, restorative practices for conflict resolution and collaborative learning environments, as well as recognizing the value of mixed-age learning and free play for healthy development.</w:t>
      </w:r>
    </w:p>
    <w:p w14:paraId="6F6A54F0" w14:textId="77777777" w:rsidR="00AC1396" w:rsidRPr="00500AA8" w:rsidRDefault="00AC1396" w:rsidP="00AC1396">
      <w:pPr>
        <w:pStyle w:val="Heading3"/>
        <w:keepNext w:val="0"/>
        <w:keepLines w:val="0"/>
        <w:spacing w:before="280"/>
        <w:jc w:val="both"/>
        <w:rPr>
          <w:b/>
          <w:bCs/>
          <w:color w:val="000000"/>
          <w:lang w:val="en-US"/>
        </w:rPr>
      </w:pPr>
      <w:bookmarkStart w:id="15" w:name="_8ci3u449l2as" w:colFirst="0" w:colLast="0"/>
      <w:bookmarkEnd w:id="15"/>
      <w:r w:rsidRPr="00500AA8">
        <w:rPr>
          <w:b/>
          <w:bCs/>
          <w:color w:val="000000"/>
          <w:lang w:val="en-US"/>
        </w:rPr>
        <w:t>5. Reform assessment systems to support dignity and learning</w:t>
      </w:r>
    </w:p>
    <w:p w14:paraId="5D4967AF"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Assessment policies should move away from an overreliance on high-stake testing and ranking. States should promote formative, narrative, and participatory assessment practices that support learning, self-reflection, and growth, while ensuring transparency and fairness.</w:t>
      </w:r>
    </w:p>
    <w:p w14:paraId="641B7F03" w14:textId="77777777" w:rsidR="00AC1396" w:rsidRPr="00500AA8" w:rsidRDefault="00AC1396" w:rsidP="00AC1396">
      <w:pPr>
        <w:pStyle w:val="Heading3"/>
        <w:keepNext w:val="0"/>
        <w:keepLines w:val="0"/>
        <w:spacing w:before="280"/>
        <w:jc w:val="both"/>
        <w:rPr>
          <w:b/>
          <w:bCs/>
          <w:color w:val="000000"/>
          <w:lang w:val="en-US"/>
        </w:rPr>
      </w:pPr>
      <w:bookmarkStart w:id="16" w:name="_j8q5u7x38vxh" w:colFirst="0" w:colLast="0"/>
      <w:bookmarkEnd w:id="16"/>
      <w:r w:rsidRPr="00500AA8">
        <w:rPr>
          <w:b/>
          <w:bCs/>
          <w:color w:val="000000"/>
          <w:lang w:val="en-US"/>
        </w:rPr>
        <w:lastRenderedPageBreak/>
        <w:t>6. Facilitate pilot programmes and research on democratic education</w:t>
      </w:r>
    </w:p>
    <w:p w14:paraId="0DE47926"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Governments and international bodies should support pilot initiatives, research, and knowledge exchange on democratic and rights-aligned education models, including collaboration with civil society networks such as EUDEC, Progressive Education and Rights-Centric Education. Such investment can support evidence-informed scaling while respecting contextual diversity.</w:t>
      </w:r>
    </w:p>
    <w:p w14:paraId="11085F3B"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Taken together, these measures offer a coherent pathway for education systems to fulfil the right to education in ways that promote dignity, well-being, inclusion, and democratic participation.</w:t>
      </w:r>
    </w:p>
    <w:p w14:paraId="093A054C" w14:textId="77777777" w:rsidR="00AC1396" w:rsidRPr="00500AA8" w:rsidRDefault="00AC1396" w:rsidP="00AC1396">
      <w:pPr>
        <w:spacing w:before="240" w:after="240"/>
        <w:jc w:val="both"/>
        <w:rPr>
          <w:i/>
          <w:iCs/>
          <w:lang w:val="en-US"/>
        </w:rPr>
      </w:pPr>
    </w:p>
    <w:p w14:paraId="11E9E431" w14:textId="77777777" w:rsidR="00AC1396" w:rsidRPr="00500AA8" w:rsidRDefault="00AC1396" w:rsidP="00AC1396">
      <w:pPr>
        <w:pStyle w:val="Heading2"/>
        <w:keepNext w:val="0"/>
        <w:keepLines w:val="0"/>
        <w:jc w:val="both"/>
        <w:rPr>
          <w:b/>
          <w:bCs/>
          <w:sz w:val="36"/>
          <w:szCs w:val="36"/>
          <w:lang w:val="en-US"/>
        </w:rPr>
      </w:pPr>
      <w:bookmarkStart w:id="17" w:name="_kwiococpkt6f" w:colFirst="0" w:colLast="0"/>
      <w:bookmarkEnd w:id="17"/>
      <w:r w:rsidRPr="00500AA8">
        <w:rPr>
          <w:b/>
          <w:bCs/>
          <w:sz w:val="36"/>
          <w:szCs w:val="36"/>
          <w:lang w:val="en-US"/>
        </w:rPr>
        <w:t>VIII. Conclusion</w:t>
      </w:r>
    </w:p>
    <w:p w14:paraId="54E3EC63"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This submission has examined curriculum, pedagogy, and assessment through the lens of the right to education, drawing on democratic education practice, learner-centred research, and long-standing experience within EUDEC and related initiatives. It has argued that education aligned with human rights requires more than access to schooling or the transmission of prescribed content; it requires learning environments that respect dignity, enable participation, and support the full development of the human personality.</w:t>
      </w:r>
    </w:p>
    <w:p w14:paraId="46F081D5"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Evidence from democratic education demonstrates that when learners are trusted as active participants in their education, and when learning is organised around autonomy, relational safety, and shared responsibility, both well-being and meaningful learning are strengthened. Curriculum flexibility, participatory pedagogy, and formative assessment are not marginal innovations, but key conditions for fulfilling the right to education in contemporary societies.</w:t>
      </w:r>
    </w:p>
    <w:p w14:paraId="13B1A97D" w14:textId="77777777" w:rsidR="00AC1396" w:rsidRPr="00500AA8" w:rsidRDefault="00AC1396" w:rsidP="00AC1396">
      <w:pPr>
        <w:spacing w:before="240" w:after="240" w:line="360" w:lineRule="auto"/>
        <w:jc w:val="both"/>
        <w:rPr>
          <w:sz w:val="24"/>
          <w:szCs w:val="24"/>
          <w:lang w:val="en-US"/>
        </w:rPr>
      </w:pPr>
      <w:r w:rsidRPr="00500AA8">
        <w:rPr>
          <w:sz w:val="24"/>
          <w:szCs w:val="24"/>
          <w:lang w:val="en-US"/>
        </w:rPr>
        <w:t>As education systems worldwide confront rising disengagement, mental health challenges, and democratic erosion, rights-aligned educational approaches offer viable and grounded pathways for renewal. EUDEC invites the Special Rapporteur to recognise democratic education practices as a valuable source of insight and to encourage States to engage in progressive, evidence-informed reforms that place human rights, well-being, and democratic participation at the heart of education.</w:t>
      </w:r>
    </w:p>
    <w:p w14:paraId="21BFE379" w14:textId="77777777" w:rsidR="00AC1396" w:rsidRPr="00F47A54" w:rsidRDefault="00AC1396" w:rsidP="00AC1396">
      <w:pPr>
        <w:jc w:val="both"/>
        <w:rPr>
          <w:lang w:val="en-US"/>
        </w:rPr>
      </w:pPr>
    </w:p>
    <w:p w14:paraId="5986623C" w14:textId="77777777" w:rsidR="00AC1396" w:rsidRPr="00F47A54" w:rsidRDefault="00AC1396" w:rsidP="00AC1396">
      <w:pPr>
        <w:jc w:val="both"/>
        <w:rPr>
          <w:lang w:val="en-US"/>
        </w:rPr>
      </w:pPr>
    </w:p>
    <w:p w14:paraId="13738A5E" w14:textId="77777777" w:rsidR="00AC1396" w:rsidRPr="00F47A54" w:rsidRDefault="00AC1396" w:rsidP="00AC1396">
      <w:pPr>
        <w:pStyle w:val="Heading2"/>
        <w:keepNext w:val="0"/>
        <w:keepLines w:val="0"/>
        <w:jc w:val="both"/>
        <w:rPr>
          <w:b/>
          <w:bCs/>
          <w:sz w:val="24"/>
          <w:szCs w:val="24"/>
          <w:highlight w:val="white"/>
          <w:u w:val="single"/>
          <w:lang w:val="en-US"/>
        </w:rPr>
      </w:pPr>
      <w:bookmarkStart w:id="18" w:name="_1397vtysbr45" w:colFirst="0" w:colLast="0"/>
      <w:bookmarkEnd w:id="18"/>
      <w:r>
        <w:rPr>
          <w:b/>
          <w:bCs/>
          <w:sz w:val="24"/>
          <w:szCs w:val="24"/>
          <w:highlight w:val="white"/>
          <w:u w:val="single"/>
          <w:lang w:val="en-US"/>
        </w:rPr>
        <w:t>Works Cited</w:t>
      </w:r>
    </w:p>
    <w:p w14:paraId="528FE135"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Black, Paul, &amp; Wiliam, Dylan.</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Inside the Black Box: Raising Standards Through Classroom Assessment.</w:t>
      </w:r>
      <w:r w:rsidRPr="00F47A54">
        <w:rPr>
          <w:i/>
          <w:iCs/>
          <w:sz w:val="24"/>
          <w:szCs w:val="24"/>
          <w:highlight w:val="white"/>
          <w:lang w:val="en-US"/>
        </w:rPr>
        <w:br/>
      </w:r>
      <w:r w:rsidRPr="00F47A54">
        <w:rPr>
          <w:sz w:val="24"/>
          <w:szCs w:val="24"/>
          <w:highlight w:val="white"/>
          <w:lang w:val="en-US"/>
        </w:rPr>
        <w:t xml:space="preserve"> London: King’s College London, 1998 (and later editions).</w:t>
      </w:r>
    </w:p>
    <w:p w14:paraId="74BF9CC5"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Brookhouser, Kevin.</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The 20Time Project: How Educators Can Launch Google’s Formula for Future-Ready Innovation.</w:t>
      </w:r>
      <w:r w:rsidRPr="00F47A54">
        <w:rPr>
          <w:i/>
          <w:iCs/>
          <w:sz w:val="24"/>
          <w:szCs w:val="24"/>
          <w:highlight w:val="white"/>
          <w:lang w:val="en-US"/>
        </w:rPr>
        <w:br/>
      </w:r>
      <w:r w:rsidRPr="00F47A54">
        <w:rPr>
          <w:sz w:val="24"/>
          <w:szCs w:val="24"/>
          <w:highlight w:val="white"/>
          <w:lang w:val="en-US"/>
        </w:rPr>
        <w:t xml:space="preserve"> San Diego: Codebreaker Publishing, 2016.</w:t>
      </w:r>
    </w:p>
    <w:p w14:paraId="75EE2EB2"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Council of Europe.</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Reference Framework of Competences for Democratic Culture.</w:t>
      </w:r>
      <w:r w:rsidRPr="00F47A54">
        <w:rPr>
          <w:i/>
          <w:iCs/>
          <w:sz w:val="24"/>
          <w:szCs w:val="24"/>
          <w:highlight w:val="white"/>
          <w:lang w:val="en-US"/>
        </w:rPr>
        <w:br/>
      </w:r>
      <w:r w:rsidRPr="00F47A54">
        <w:rPr>
          <w:sz w:val="24"/>
          <w:szCs w:val="24"/>
          <w:highlight w:val="white"/>
          <w:lang w:val="en-US"/>
        </w:rPr>
        <w:t xml:space="preserve"> Strasbourg: Council of Europe, 2018.</w:t>
      </w:r>
    </w:p>
    <w:p w14:paraId="4D82498A"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Deci, Edward L., &amp; Ryan, Richard M.</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Self-Determination Theory: Basic Psychological Needs in Motivation, Development, and Wellness.</w:t>
      </w:r>
      <w:r w:rsidRPr="00F47A54">
        <w:rPr>
          <w:i/>
          <w:iCs/>
          <w:sz w:val="24"/>
          <w:szCs w:val="24"/>
          <w:highlight w:val="white"/>
          <w:lang w:val="en-US"/>
        </w:rPr>
        <w:br/>
      </w:r>
      <w:r w:rsidRPr="00F47A54">
        <w:rPr>
          <w:sz w:val="24"/>
          <w:szCs w:val="24"/>
          <w:highlight w:val="white"/>
          <w:lang w:val="en-US"/>
        </w:rPr>
        <w:t xml:space="preserve"> New York: Guilford Press, 2017.</w:t>
      </w:r>
    </w:p>
    <w:p w14:paraId="1A4C1C1C"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European Democratic Education Community (EUDEC).</w:t>
      </w:r>
      <w:r w:rsidRPr="00F47A54">
        <w:rPr>
          <w:b/>
          <w:bCs/>
          <w:sz w:val="24"/>
          <w:szCs w:val="24"/>
          <w:highlight w:val="white"/>
          <w:lang w:val="en-US"/>
        </w:rPr>
        <w:br/>
      </w:r>
      <w:r w:rsidRPr="00F47A54">
        <w:rPr>
          <w:sz w:val="24"/>
          <w:szCs w:val="24"/>
          <w:highlight w:val="white"/>
          <w:lang w:val="en-US"/>
        </w:rPr>
        <w:t xml:space="preserve"> Practice-based knowledge and documentation from democratic schools and learning communities across Europe and beyond.</w:t>
      </w:r>
    </w:p>
    <w:p w14:paraId="74DF2401"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Gray, Peter.</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Free to Learn: Why Unleashing the Instinct to Play Will Make Our Children Happier, More Self-Reliant, and Better Students for Life.</w:t>
      </w:r>
      <w:r w:rsidRPr="00F47A54">
        <w:rPr>
          <w:i/>
          <w:iCs/>
          <w:sz w:val="24"/>
          <w:szCs w:val="24"/>
          <w:highlight w:val="white"/>
          <w:lang w:val="en-US"/>
        </w:rPr>
        <w:br/>
      </w:r>
      <w:r w:rsidRPr="00F47A54">
        <w:rPr>
          <w:sz w:val="24"/>
          <w:szCs w:val="24"/>
          <w:highlight w:val="white"/>
          <w:lang w:val="en-US"/>
        </w:rPr>
        <w:t xml:space="preserve"> New York: Basic Books, 2013.</w:t>
      </w:r>
    </w:p>
    <w:p w14:paraId="2F751F4B"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Gray, Peter.</w:t>
      </w:r>
      <w:r w:rsidRPr="00F47A54">
        <w:rPr>
          <w:b/>
          <w:bCs/>
          <w:sz w:val="24"/>
          <w:szCs w:val="24"/>
          <w:highlight w:val="white"/>
          <w:lang w:val="en-US"/>
        </w:rPr>
        <w:br/>
      </w:r>
      <w:r w:rsidRPr="00F47A54">
        <w:rPr>
          <w:sz w:val="24"/>
          <w:szCs w:val="24"/>
          <w:highlight w:val="white"/>
          <w:lang w:val="en-US"/>
        </w:rPr>
        <w:t xml:space="preserve"> Democratic schooling: What happens to young people who have charge of their own education?</w:t>
      </w:r>
      <w:r w:rsidRPr="00F47A54">
        <w:rPr>
          <w:sz w:val="24"/>
          <w:szCs w:val="24"/>
          <w:highlight w:val="white"/>
          <w:lang w:val="en-US"/>
        </w:rPr>
        <w:br/>
        <w:t xml:space="preserve"> </w:t>
      </w:r>
      <w:r w:rsidRPr="00F47A54">
        <w:rPr>
          <w:i/>
          <w:iCs/>
          <w:sz w:val="24"/>
          <w:szCs w:val="24"/>
          <w:highlight w:val="white"/>
          <w:lang w:val="en-US"/>
        </w:rPr>
        <w:t>American Journal of Education</w:t>
      </w:r>
      <w:r w:rsidRPr="00F47A54">
        <w:rPr>
          <w:sz w:val="24"/>
          <w:szCs w:val="24"/>
          <w:highlight w:val="white"/>
          <w:lang w:val="en-US"/>
        </w:rPr>
        <w:t>, 94(2), 182–213, 1986.</w:t>
      </w:r>
    </w:p>
    <w:p w14:paraId="3B3E4D7F"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Hannam, Derry.</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Another Way Is Possible: Becoming a Democratic Teacher in a State School.</w:t>
      </w:r>
      <w:r w:rsidRPr="00F47A54">
        <w:rPr>
          <w:i/>
          <w:iCs/>
          <w:sz w:val="24"/>
          <w:szCs w:val="24"/>
          <w:highlight w:val="white"/>
          <w:lang w:val="en-US"/>
        </w:rPr>
        <w:br/>
      </w:r>
      <w:r w:rsidRPr="00F47A54">
        <w:rPr>
          <w:sz w:val="24"/>
          <w:szCs w:val="24"/>
          <w:highlight w:val="white"/>
          <w:lang w:val="en-US"/>
        </w:rPr>
        <w:t xml:space="preserve"> London: Hawthorn Press, 2018.</w:t>
      </w:r>
    </w:p>
    <w:p w14:paraId="602FE564"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Harlen, Wynne, &amp; Deakin Crick, Ruth.</w:t>
      </w:r>
      <w:r w:rsidRPr="00F47A54">
        <w:rPr>
          <w:b/>
          <w:bCs/>
          <w:sz w:val="24"/>
          <w:szCs w:val="24"/>
          <w:highlight w:val="white"/>
          <w:lang w:val="en-US"/>
        </w:rPr>
        <w:br/>
      </w:r>
      <w:r w:rsidRPr="00F47A54">
        <w:rPr>
          <w:sz w:val="24"/>
          <w:szCs w:val="24"/>
          <w:highlight w:val="white"/>
          <w:lang w:val="en-US"/>
        </w:rPr>
        <w:t xml:space="preserve"> A systematic review of the impact of summative assessment and tests on students’ motivation for learning.</w:t>
      </w:r>
      <w:r w:rsidRPr="00F47A54">
        <w:rPr>
          <w:sz w:val="24"/>
          <w:szCs w:val="24"/>
          <w:highlight w:val="white"/>
          <w:lang w:val="en-US"/>
        </w:rPr>
        <w:br/>
        <w:t xml:space="preserve"> Research Evidence in Education Library, EPPI-Centre, Institute of Education, University of London, 2002.</w:t>
      </w:r>
    </w:p>
    <w:p w14:paraId="28800885"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lastRenderedPageBreak/>
        <w:t>Hart, Roger A.</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Children’s Participation: From Tokenism to Citizenship.</w:t>
      </w:r>
      <w:r w:rsidRPr="00F47A54">
        <w:rPr>
          <w:i/>
          <w:iCs/>
          <w:sz w:val="24"/>
          <w:szCs w:val="24"/>
          <w:highlight w:val="white"/>
          <w:lang w:val="en-US"/>
        </w:rPr>
        <w:br/>
      </w:r>
      <w:r w:rsidRPr="00F47A54">
        <w:rPr>
          <w:sz w:val="24"/>
          <w:szCs w:val="24"/>
          <w:highlight w:val="white"/>
          <w:lang w:val="en-US"/>
        </w:rPr>
        <w:t xml:space="preserve"> Florence: UNICEF Innocenti Research Centre, 1992.</w:t>
      </w:r>
    </w:p>
    <w:p w14:paraId="52D38BF7"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Högberg, Björn, &amp; Horn, Daniel.</w:t>
      </w:r>
      <w:r w:rsidRPr="00F47A54">
        <w:rPr>
          <w:b/>
          <w:bCs/>
          <w:sz w:val="24"/>
          <w:szCs w:val="24"/>
          <w:highlight w:val="white"/>
          <w:lang w:val="en-US"/>
        </w:rPr>
        <w:br/>
      </w:r>
      <w:r w:rsidRPr="00F47A54">
        <w:rPr>
          <w:sz w:val="24"/>
          <w:szCs w:val="24"/>
          <w:highlight w:val="white"/>
          <w:lang w:val="en-US"/>
        </w:rPr>
        <w:t xml:space="preserve"> National high-stakes testing, gender, and school stress in Europe: A difference-in-differences analysis.</w:t>
      </w:r>
      <w:r w:rsidRPr="00F47A54">
        <w:rPr>
          <w:sz w:val="24"/>
          <w:szCs w:val="24"/>
          <w:highlight w:val="white"/>
          <w:lang w:val="en-US"/>
        </w:rPr>
        <w:br/>
        <w:t xml:space="preserve"> </w:t>
      </w:r>
      <w:r w:rsidRPr="00F47A54">
        <w:rPr>
          <w:i/>
          <w:iCs/>
          <w:sz w:val="24"/>
          <w:szCs w:val="24"/>
          <w:highlight w:val="white"/>
          <w:lang w:val="en-US"/>
        </w:rPr>
        <w:t>European Sociological Review</w:t>
      </w:r>
      <w:r w:rsidRPr="00F47A54">
        <w:rPr>
          <w:sz w:val="24"/>
          <w:szCs w:val="24"/>
          <w:highlight w:val="white"/>
          <w:lang w:val="en-US"/>
        </w:rPr>
        <w:t>, 38(6), 975–987, 2022.</w:t>
      </w:r>
    </w:p>
    <w:p w14:paraId="18AD5EAC"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OECD.</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Learning Compass 2030.</w:t>
      </w:r>
      <w:r w:rsidRPr="00F47A54">
        <w:rPr>
          <w:i/>
          <w:iCs/>
          <w:sz w:val="24"/>
          <w:szCs w:val="24"/>
          <w:highlight w:val="white"/>
          <w:lang w:val="en-US"/>
        </w:rPr>
        <w:br/>
      </w:r>
      <w:r w:rsidRPr="00F47A54">
        <w:rPr>
          <w:sz w:val="24"/>
          <w:szCs w:val="24"/>
          <w:highlight w:val="white"/>
          <w:lang w:val="en-US"/>
        </w:rPr>
        <w:t xml:space="preserve"> Paris: OECD Publishing.</w:t>
      </w:r>
    </w:p>
    <w:p w14:paraId="4E159B17"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OECD.</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PISA 2018 Results (Volume III): What School Life Means for Students’ Lives.</w:t>
      </w:r>
      <w:r w:rsidRPr="00F47A54">
        <w:rPr>
          <w:i/>
          <w:iCs/>
          <w:sz w:val="24"/>
          <w:szCs w:val="24"/>
          <w:highlight w:val="white"/>
          <w:lang w:val="en-US"/>
        </w:rPr>
        <w:br/>
      </w:r>
      <w:r w:rsidRPr="00F47A54">
        <w:rPr>
          <w:sz w:val="24"/>
          <w:szCs w:val="24"/>
          <w:highlight w:val="white"/>
          <w:lang w:val="en-US"/>
        </w:rPr>
        <w:t xml:space="preserve"> Paris: OECD Publishing, 2019.</w:t>
      </w:r>
    </w:p>
    <w:p w14:paraId="2DEB9A72"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OECD.</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Students’ Well-Being: What It Takes to Succeed.</w:t>
      </w:r>
      <w:r w:rsidRPr="00F47A54">
        <w:rPr>
          <w:i/>
          <w:iCs/>
          <w:sz w:val="24"/>
          <w:szCs w:val="24"/>
          <w:highlight w:val="white"/>
          <w:lang w:val="en-US"/>
        </w:rPr>
        <w:br/>
      </w:r>
      <w:r w:rsidRPr="00F47A54">
        <w:rPr>
          <w:sz w:val="24"/>
          <w:szCs w:val="24"/>
          <w:highlight w:val="white"/>
          <w:lang w:val="en-US"/>
        </w:rPr>
        <w:t xml:space="preserve"> Paris: OECD Publishing, 2017.</w:t>
      </w:r>
    </w:p>
    <w:p w14:paraId="4290E021"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Roberts, John, &amp; Eady, Sandra.</w:t>
      </w:r>
      <w:r w:rsidRPr="00F47A54">
        <w:rPr>
          <w:b/>
          <w:bCs/>
          <w:sz w:val="24"/>
          <w:szCs w:val="24"/>
          <w:highlight w:val="white"/>
          <w:lang w:val="en-US"/>
        </w:rPr>
        <w:br/>
      </w:r>
      <w:r w:rsidRPr="00F47A54">
        <w:rPr>
          <w:sz w:val="24"/>
          <w:szCs w:val="24"/>
          <w:highlight w:val="white"/>
          <w:lang w:val="en-US"/>
        </w:rPr>
        <w:t xml:space="preserve"> Enhancing the quality of learning: Benefits of a mixed-age, collaborative approach to creative narrative writing.</w:t>
      </w:r>
      <w:r w:rsidRPr="00F47A54">
        <w:rPr>
          <w:sz w:val="24"/>
          <w:szCs w:val="24"/>
          <w:highlight w:val="white"/>
          <w:lang w:val="en-US"/>
        </w:rPr>
        <w:br/>
        <w:t xml:space="preserve"> </w:t>
      </w:r>
      <w:r w:rsidRPr="00F47A54">
        <w:rPr>
          <w:i/>
          <w:iCs/>
          <w:sz w:val="24"/>
          <w:szCs w:val="24"/>
          <w:highlight w:val="white"/>
          <w:lang w:val="en-US"/>
        </w:rPr>
        <w:t>Education 3–13</w:t>
      </w:r>
      <w:r w:rsidRPr="00F47A54">
        <w:rPr>
          <w:sz w:val="24"/>
          <w:szCs w:val="24"/>
          <w:highlight w:val="white"/>
          <w:lang w:val="en-US"/>
        </w:rPr>
        <w:t>, 40, 1–12, 2011.</w:t>
      </w:r>
    </w:p>
    <w:p w14:paraId="4AF32E3A"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Rotter, Julian B.</w:t>
      </w:r>
      <w:r w:rsidRPr="00F47A54">
        <w:rPr>
          <w:b/>
          <w:bCs/>
          <w:sz w:val="24"/>
          <w:szCs w:val="24"/>
          <w:highlight w:val="white"/>
          <w:lang w:val="en-US"/>
        </w:rPr>
        <w:br/>
      </w:r>
      <w:r w:rsidRPr="00F47A54">
        <w:rPr>
          <w:sz w:val="24"/>
          <w:szCs w:val="24"/>
          <w:highlight w:val="white"/>
          <w:lang w:val="en-US"/>
        </w:rPr>
        <w:t xml:space="preserve"> Generalized expectancies for internal versus external control of reinforcement.</w:t>
      </w:r>
      <w:r w:rsidRPr="00F47A54">
        <w:rPr>
          <w:sz w:val="24"/>
          <w:szCs w:val="24"/>
          <w:highlight w:val="white"/>
          <w:lang w:val="en-US"/>
        </w:rPr>
        <w:br/>
        <w:t xml:space="preserve"> </w:t>
      </w:r>
      <w:r w:rsidRPr="00F47A54">
        <w:rPr>
          <w:i/>
          <w:iCs/>
          <w:sz w:val="24"/>
          <w:szCs w:val="24"/>
          <w:highlight w:val="white"/>
          <w:lang w:val="en-US"/>
        </w:rPr>
        <w:t>Psychological Monographs</w:t>
      </w:r>
      <w:r w:rsidRPr="00F47A54">
        <w:rPr>
          <w:sz w:val="24"/>
          <w:szCs w:val="24"/>
          <w:highlight w:val="white"/>
          <w:lang w:val="en-US"/>
        </w:rPr>
        <w:t>, 80(1), 1966.</w:t>
      </w:r>
    </w:p>
    <w:p w14:paraId="6E41318C"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Smit, Robbert, &amp; Engeli, Eva.</w:t>
      </w:r>
      <w:r w:rsidRPr="00F47A54">
        <w:rPr>
          <w:b/>
          <w:bCs/>
          <w:sz w:val="24"/>
          <w:szCs w:val="24"/>
          <w:highlight w:val="white"/>
          <w:lang w:val="en-US"/>
        </w:rPr>
        <w:br/>
      </w:r>
      <w:r w:rsidRPr="00F47A54">
        <w:rPr>
          <w:sz w:val="24"/>
          <w:szCs w:val="24"/>
          <w:highlight w:val="white"/>
          <w:lang w:val="en-US"/>
        </w:rPr>
        <w:t xml:space="preserve"> An empirical model of mixed-age teaching.</w:t>
      </w:r>
      <w:r w:rsidRPr="00F47A54">
        <w:rPr>
          <w:sz w:val="24"/>
          <w:szCs w:val="24"/>
          <w:highlight w:val="white"/>
          <w:lang w:val="en-US"/>
        </w:rPr>
        <w:br/>
        <w:t xml:space="preserve"> </w:t>
      </w:r>
      <w:r w:rsidRPr="00F47A54">
        <w:rPr>
          <w:i/>
          <w:iCs/>
          <w:sz w:val="24"/>
          <w:szCs w:val="24"/>
          <w:highlight w:val="white"/>
          <w:lang w:val="en-US"/>
        </w:rPr>
        <w:t>International Journal of Educational Research</w:t>
      </w:r>
      <w:r w:rsidRPr="00F47A54">
        <w:rPr>
          <w:sz w:val="24"/>
          <w:szCs w:val="24"/>
          <w:highlight w:val="white"/>
          <w:lang w:val="en-US"/>
        </w:rPr>
        <w:t>, 74, 136–145, 2015.</w:t>
      </w:r>
    </w:p>
    <w:p w14:paraId="5616B6D4"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Solari, M., Vizquerra, M. I., &amp; Engel, A.</w:t>
      </w:r>
      <w:r w:rsidRPr="00F47A54">
        <w:rPr>
          <w:b/>
          <w:bCs/>
          <w:sz w:val="24"/>
          <w:szCs w:val="24"/>
          <w:highlight w:val="white"/>
          <w:lang w:val="en-US"/>
        </w:rPr>
        <w:br/>
      </w:r>
      <w:r w:rsidRPr="00F47A54">
        <w:rPr>
          <w:sz w:val="24"/>
          <w:szCs w:val="24"/>
          <w:highlight w:val="white"/>
          <w:lang w:val="en-US"/>
        </w:rPr>
        <w:t xml:space="preserve"> Students’ interests for personalized learning: An analysis guide.</w:t>
      </w:r>
      <w:r w:rsidRPr="00F47A54">
        <w:rPr>
          <w:sz w:val="24"/>
          <w:szCs w:val="24"/>
          <w:highlight w:val="white"/>
          <w:lang w:val="en-US"/>
        </w:rPr>
        <w:br/>
        <w:t xml:space="preserve"> </w:t>
      </w:r>
      <w:r w:rsidRPr="00F47A54">
        <w:rPr>
          <w:i/>
          <w:iCs/>
          <w:sz w:val="24"/>
          <w:szCs w:val="24"/>
          <w:highlight w:val="white"/>
          <w:lang w:val="en-US"/>
        </w:rPr>
        <w:t>European Journal of Psychology of Education</w:t>
      </w:r>
      <w:r w:rsidRPr="00F47A54">
        <w:rPr>
          <w:sz w:val="24"/>
          <w:szCs w:val="24"/>
          <w:highlight w:val="white"/>
          <w:lang w:val="en-US"/>
        </w:rPr>
        <w:t>, 38, 1073–1109, 2023.</w:t>
      </w:r>
    </w:p>
    <w:p w14:paraId="4070BD4E"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UNESCO.</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Education for Human Rights and Democratic Citizenship.</w:t>
      </w:r>
      <w:r w:rsidRPr="00F47A54">
        <w:rPr>
          <w:i/>
          <w:iCs/>
          <w:sz w:val="24"/>
          <w:szCs w:val="24"/>
          <w:highlight w:val="white"/>
          <w:lang w:val="en-US"/>
        </w:rPr>
        <w:br/>
      </w:r>
      <w:r w:rsidRPr="00F47A54">
        <w:rPr>
          <w:sz w:val="24"/>
          <w:szCs w:val="24"/>
          <w:highlight w:val="white"/>
          <w:lang w:val="en-US"/>
        </w:rPr>
        <w:t xml:space="preserve"> Paris: UNESCO.</w:t>
      </w:r>
    </w:p>
    <w:p w14:paraId="401B2E74"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UNESCO.</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Reimagining Our Futures Together: A New Social Contract for Education.</w:t>
      </w:r>
      <w:r w:rsidRPr="00F47A54">
        <w:rPr>
          <w:i/>
          <w:iCs/>
          <w:sz w:val="24"/>
          <w:szCs w:val="24"/>
          <w:highlight w:val="white"/>
          <w:lang w:val="en-US"/>
        </w:rPr>
        <w:br/>
      </w:r>
      <w:r w:rsidRPr="00F47A54">
        <w:rPr>
          <w:sz w:val="24"/>
          <w:szCs w:val="24"/>
          <w:highlight w:val="white"/>
          <w:lang w:val="en-US"/>
        </w:rPr>
        <w:t xml:space="preserve"> Paris: UNESCO, 2021.</w:t>
      </w:r>
    </w:p>
    <w:p w14:paraId="6DD1FF2A"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lastRenderedPageBreak/>
        <w:t>UNESCO.</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Rethinking Assessment: Towards a New Culture of Learning.</w:t>
      </w:r>
      <w:r w:rsidRPr="00F47A54">
        <w:rPr>
          <w:i/>
          <w:iCs/>
          <w:sz w:val="24"/>
          <w:szCs w:val="24"/>
          <w:highlight w:val="white"/>
          <w:lang w:val="en-US"/>
        </w:rPr>
        <w:br/>
      </w:r>
      <w:r w:rsidRPr="00F47A54">
        <w:rPr>
          <w:sz w:val="24"/>
          <w:szCs w:val="24"/>
          <w:highlight w:val="white"/>
          <w:lang w:val="en-US"/>
        </w:rPr>
        <w:t xml:space="preserve"> Paris: UNESCO, 2015.</w:t>
      </w:r>
    </w:p>
    <w:p w14:paraId="2C36E518"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United Nations.</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Universal Declaration of Human Rights.</w:t>
      </w:r>
      <w:r w:rsidRPr="00F47A54">
        <w:rPr>
          <w:i/>
          <w:iCs/>
          <w:sz w:val="24"/>
          <w:szCs w:val="24"/>
          <w:highlight w:val="white"/>
          <w:lang w:val="en-US"/>
        </w:rPr>
        <w:br/>
      </w:r>
      <w:r w:rsidRPr="00F47A54">
        <w:rPr>
          <w:sz w:val="24"/>
          <w:szCs w:val="24"/>
          <w:highlight w:val="white"/>
          <w:lang w:val="en-US"/>
        </w:rPr>
        <w:t xml:space="preserve"> New York: United Nations, 1948, Article 26.</w:t>
      </w:r>
    </w:p>
    <w:p w14:paraId="50FFA6B4"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United Nations.</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International Covenant on Economic, Social and Cultural Rights.</w:t>
      </w:r>
      <w:r w:rsidRPr="00F47A54">
        <w:rPr>
          <w:i/>
          <w:iCs/>
          <w:sz w:val="24"/>
          <w:szCs w:val="24"/>
          <w:highlight w:val="white"/>
          <w:lang w:val="en-US"/>
        </w:rPr>
        <w:br/>
      </w:r>
      <w:r w:rsidRPr="00F47A54">
        <w:rPr>
          <w:sz w:val="24"/>
          <w:szCs w:val="24"/>
          <w:highlight w:val="white"/>
          <w:lang w:val="en-US"/>
        </w:rPr>
        <w:t xml:space="preserve"> New York: United Nations, 1966, Article 13.</w:t>
      </w:r>
    </w:p>
    <w:p w14:paraId="7AAB3130" w14:textId="77777777" w:rsidR="00AC1396" w:rsidRPr="00F47A54" w:rsidRDefault="00AC1396" w:rsidP="00AC1396">
      <w:pPr>
        <w:spacing w:before="240" w:after="240"/>
        <w:rPr>
          <w:sz w:val="24"/>
          <w:szCs w:val="24"/>
          <w:highlight w:val="white"/>
          <w:lang w:val="en-US"/>
        </w:rPr>
      </w:pPr>
      <w:r w:rsidRPr="00F47A54">
        <w:rPr>
          <w:b/>
          <w:bCs/>
          <w:sz w:val="24"/>
          <w:szCs w:val="24"/>
          <w:highlight w:val="white"/>
          <w:lang w:val="en-US"/>
        </w:rPr>
        <w:t>United Nations Committee on the Rights of the Child.</w:t>
      </w:r>
      <w:r w:rsidRPr="00F47A54">
        <w:rPr>
          <w:b/>
          <w:bCs/>
          <w:sz w:val="24"/>
          <w:szCs w:val="24"/>
          <w:highlight w:val="white"/>
          <w:lang w:val="en-US"/>
        </w:rPr>
        <w:br/>
      </w:r>
      <w:r w:rsidRPr="00F47A54">
        <w:rPr>
          <w:sz w:val="24"/>
          <w:szCs w:val="24"/>
          <w:highlight w:val="white"/>
          <w:lang w:val="en-US"/>
        </w:rPr>
        <w:t xml:space="preserve"> </w:t>
      </w:r>
      <w:r w:rsidRPr="00F47A54">
        <w:rPr>
          <w:i/>
          <w:iCs/>
          <w:sz w:val="24"/>
          <w:szCs w:val="24"/>
          <w:highlight w:val="white"/>
          <w:lang w:val="en-US"/>
        </w:rPr>
        <w:t>General Comment No. 1 (2001): The Aims of Education (Article 29(1)).</w:t>
      </w:r>
      <w:r w:rsidRPr="00F47A54">
        <w:rPr>
          <w:i/>
          <w:iCs/>
          <w:sz w:val="24"/>
          <w:szCs w:val="24"/>
          <w:highlight w:val="white"/>
          <w:lang w:val="en-US"/>
        </w:rPr>
        <w:br/>
      </w:r>
      <w:r w:rsidRPr="00F47A54">
        <w:rPr>
          <w:sz w:val="24"/>
          <w:szCs w:val="24"/>
          <w:highlight w:val="white"/>
          <w:lang w:val="en-US"/>
        </w:rPr>
        <w:t xml:space="preserve"> UN Doc. CRC/GC/2001/1.</w:t>
      </w:r>
    </w:p>
    <w:p w14:paraId="57AA7BA0" w14:textId="77777777" w:rsidR="002E0391" w:rsidRDefault="002E0391"/>
    <w:sectPr w:rsidR="002E0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599D" w14:textId="77777777" w:rsidR="00AC1396" w:rsidRDefault="00AC1396" w:rsidP="00AC1396">
      <w:pPr>
        <w:spacing w:line="240" w:lineRule="auto"/>
      </w:pPr>
      <w:r>
        <w:separator/>
      </w:r>
    </w:p>
  </w:endnote>
  <w:endnote w:type="continuationSeparator" w:id="0">
    <w:p w14:paraId="1C40F301" w14:textId="77777777" w:rsidR="00AC1396" w:rsidRDefault="00AC1396" w:rsidP="00AC1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9924" w14:textId="77777777" w:rsidR="00AC1396" w:rsidRDefault="00AC1396" w:rsidP="00AC1396">
      <w:pPr>
        <w:spacing w:line="240" w:lineRule="auto"/>
      </w:pPr>
      <w:r>
        <w:separator/>
      </w:r>
    </w:p>
  </w:footnote>
  <w:footnote w:type="continuationSeparator" w:id="0">
    <w:p w14:paraId="41031463" w14:textId="77777777" w:rsidR="00AC1396" w:rsidRDefault="00AC1396" w:rsidP="00AC1396">
      <w:pPr>
        <w:spacing w:line="240" w:lineRule="auto"/>
      </w:pPr>
      <w:r>
        <w:continuationSeparator/>
      </w:r>
    </w:p>
  </w:footnote>
  <w:footnote w:id="1">
    <w:p w14:paraId="148AEA90" w14:textId="77777777" w:rsidR="00AC1396" w:rsidRPr="00500AA8" w:rsidRDefault="00AC1396" w:rsidP="00AC1396">
      <w:pPr>
        <w:spacing w:line="240" w:lineRule="auto"/>
        <w:rPr>
          <w:rFonts w:eastAsia="Roboto"/>
          <w:color w:val="000000" w:themeColor="text1"/>
          <w:sz w:val="20"/>
          <w:szCs w:val="20"/>
          <w:lang w:val="en-US"/>
        </w:rPr>
      </w:pPr>
      <w:r w:rsidRPr="00500AA8">
        <w:rPr>
          <w:color w:val="000000" w:themeColor="text1"/>
          <w:sz w:val="20"/>
          <w:szCs w:val="20"/>
          <w:vertAlign w:val="superscript"/>
        </w:rPr>
        <w:footnoteRef/>
      </w:r>
      <w:r w:rsidRPr="00500AA8">
        <w:rPr>
          <w:color w:val="000000" w:themeColor="text1"/>
          <w:sz w:val="20"/>
          <w:szCs w:val="20"/>
          <w:lang w:val="en-US"/>
        </w:rPr>
        <w:t xml:space="preserve"> </w:t>
      </w:r>
      <w:r w:rsidRPr="00500AA8">
        <w:rPr>
          <w:rFonts w:eastAsia="Roboto"/>
          <w:color w:val="000000" w:themeColor="text1"/>
          <w:sz w:val="20"/>
          <w:szCs w:val="20"/>
          <w:lang w:val="en-US"/>
        </w:rPr>
        <w:t>Universal Declaration of Human Rights (1948), Article 26.</w:t>
      </w:r>
    </w:p>
  </w:footnote>
  <w:footnote w:id="2">
    <w:p w14:paraId="30554DFC" w14:textId="77777777" w:rsidR="00AC1396" w:rsidRPr="00500AA8" w:rsidRDefault="00AC1396" w:rsidP="00AC1396">
      <w:pPr>
        <w:spacing w:line="240" w:lineRule="auto"/>
        <w:rPr>
          <w:rFonts w:eastAsia="Roboto"/>
          <w:color w:val="000000" w:themeColor="text1"/>
          <w:sz w:val="20"/>
          <w:szCs w:val="20"/>
          <w:lang w:val="en-US"/>
        </w:rPr>
      </w:pPr>
      <w:r w:rsidRPr="00500AA8">
        <w:rPr>
          <w:color w:val="000000" w:themeColor="text1"/>
          <w:sz w:val="20"/>
          <w:szCs w:val="20"/>
          <w:vertAlign w:val="superscript"/>
        </w:rPr>
        <w:footnoteRef/>
      </w:r>
      <w:r w:rsidRPr="00500AA8">
        <w:rPr>
          <w:color w:val="000000" w:themeColor="text1"/>
          <w:sz w:val="20"/>
          <w:szCs w:val="20"/>
          <w:lang w:val="en-US"/>
        </w:rPr>
        <w:t xml:space="preserve"> </w:t>
      </w:r>
      <w:r w:rsidRPr="00500AA8">
        <w:rPr>
          <w:rFonts w:eastAsia="Roboto"/>
          <w:color w:val="000000" w:themeColor="text1"/>
          <w:sz w:val="20"/>
          <w:szCs w:val="20"/>
          <w:lang w:val="en-US"/>
        </w:rPr>
        <w:t>PISA, 2018</w:t>
      </w:r>
    </w:p>
    <w:p w14:paraId="539D94D0" w14:textId="77777777" w:rsidR="00AC1396" w:rsidRPr="00F47A54" w:rsidRDefault="00AC1396" w:rsidP="00AC1396">
      <w:pPr>
        <w:spacing w:line="240" w:lineRule="auto"/>
        <w:rPr>
          <w:rFonts w:ascii="Roboto" w:eastAsia="Roboto" w:hAnsi="Roboto" w:cs="Roboto"/>
          <w:color w:val="444746"/>
          <w:sz w:val="21"/>
          <w:szCs w:val="21"/>
          <w:lang w:val="en-US"/>
        </w:rPr>
      </w:pPr>
      <w:r>
        <w:rPr>
          <w:rFonts w:eastAsia="Roboto"/>
          <w:color w:val="000000" w:themeColor="text1"/>
          <w:sz w:val="20"/>
          <w:szCs w:val="20"/>
          <w:lang w:val="en-US"/>
        </w:rPr>
        <w:t xml:space="preserve">  </w:t>
      </w:r>
      <w:r w:rsidRPr="00500AA8">
        <w:rPr>
          <w:rFonts w:eastAsia="Roboto"/>
          <w:color w:val="000000" w:themeColor="text1"/>
          <w:sz w:val="20"/>
          <w:szCs w:val="20"/>
          <w:lang w:val="en-US"/>
        </w:rPr>
        <w:t>UNESCO, 2021</w:t>
      </w:r>
    </w:p>
  </w:footnote>
  <w:footnote w:id="3">
    <w:p w14:paraId="5F62C85A" w14:textId="77777777" w:rsidR="00AC1396" w:rsidRPr="00500AA8" w:rsidRDefault="00AC1396" w:rsidP="00AC1396">
      <w:pPr>
        <w:spacing w:line="240" w:lineRule="auto"/>
        <w:rPr>
          <w:color w:val="000000" w:themeColor="text1"/>
          <w:sz w:val="20"/>
          <w:szCs w:val="20"/>
          <w:lang w:val="en-US"/>
        </w:rPr>
      </w:pPr>
      <w:r w:rsidRPr="00500AA8">
        <w:rPr>
          <w:color w:val="000000" w:themeColor="text1"/>
          <w:sz w:val="20"/>
          <w:szCs w:val="20"/>
          <w:vertAlign w:val="superscript"/>
        </w:rPr>
        <w:footnoteRef/>
      </w:r>
      <w:r w:rsidRPr="00500AA8">
        <w:rPr>
          <w:color w:val="000000" w:themeColor="text1"/>
          <w:sz w:val="20"/>
          <w:szCs w:val="20"/>
          <w:lang w:val="en-US"/>
        </w:rPr>
        <w:t xml:space="preserve"> </w:t>
      </w:r>
      <w:r w:rsidRPr="00500AA8">
        <w:rPr>
          <w:rFonts w:eastAsia="Roboto"/>
          <w:color w:val="000000" w:themeColor="text1"/>
          <w:sz w:val="20"/>
          <w:szCs w:val="20"/>
          <w:lang w:val="en-US"/>
        </w:rPr>
        <w:t>Deci &amp; Ryan, 2017</w:t>
      </w:r>
    </w:p>
    <w:p w14:paraId="6BAD07E6" w14:textId="77777777" w:rsidR="00AC1396" w:rsidRPr="00500AA8" w:rsidRDefault="00AC1396" w:rsidP="00AC1396">
      <w:pPr>
        <w:spacing w:line="240" w:lineRule="auto"/>
        <w:rPr>
          <w:rFonts w:eastAsia="Roboto"/>
          <w:color w:val="000000" w:themeColor="text1"/>
          <w:sz w:val="20"/>
          <w:szCs w:val="20"/>
          <w:lang w:val="en-US"/>
        </w:rPr>
      </w:pPr>
      <w:r w:rsidRPr="00500AA8">
        <w:rPr>
          <w:rFonts w:eastAsia="Roboto"/>
          <w:color w:val="000000" w:themeColor="text1"/>
          <w:sz w:val="20"/>
          <w:szCs w:val="20"/>
          <w:lang w:val="en-US"/>
        </w:rPr>
        <w:t xml:space="preserve">  Hart, 1992.</w:t>
      </w:r>
    </w:p>
    <w:p w14:paraId="6814EF46" w14:textId="77777777" w:rsidR="00AC1396" w:rsidRPr="00500AA8" w:rsidRDefault="00AC1396" w:rsidP="00AC1396">
      <w:pPr>
        <w:spacing w:line="240" w:lineRule="auto"/>
        <w:rPr>
          <w:rFonts w:eastAsia="Roboto"/>
          <w:color w:val="000000" w:themeColor="text1"/>
          <w:sz w:val="20"/>
          <w:szCs w:val="20"/>
          <w:lang w:val="en-US"/>
        </w:rPr>
      </w:pPr>
    </w:p>
  </w:footnote>
  <w:footnote w:id="4">
    <w:p w14:paraId="062C3FDA" w14:textId="77777777" w:rsidR="00AC1396" w:rsidRPr="00500AA8" w:rsidRDefault="00AC1396" w:rsidP="00AC1396">
      <w:pPr>
        <w:spacing w:line="240" w:lineRule="auto"/>
        <w:rPr>
          <w:rFonts w:eastAsia="Roboto"/>
          <w:color w:val="000000" w:themeColor="text1"/>
          <w:sz w:val="20"/>
          <w:szCs w:val="20"/>
          <w:lang w:val="en-US"/>
        </w:rPr>
      </w:pPr>
      <w:r w:rsidRPr="00500AA8">
        <w:rPr>
          <w:color w:val="000000" w:themeColor="text1"/>
          <w:sz w:val="20"/>
          <w:szCs w:val="20"/>
          <w:vertAlign w:val="superscript"/>
        </w:rPr>
        <w:footnoteRef/>
      </w:r>
      <w:r w:rsidRPr="00500AA8">
        <w:rPr>
          <w:color w:val="000000" w:themeColor="text1"/>
          <w:sz w:val="20"/>
          <w:szCs w:val="20"/>
          <w:lang w:val="en-US"/>
        </w:rPr>
        <w:t xml:space="preserve"> </w:t>
      </w:r>
      <w:r w:rsidRPr="00500AA8">
        <w:rPr>
          <w:rFonts w:eastAsia="Roboto"/>
          <w:color w:val="000000" w:themeColor="text1"/>
          <w:sz w:val="20"/>
          <w:szCs w:val="20"/>
          <w:lang w:val="en-US"/>
        </w:rPr>
        <w:t>Rotter, 1966.</w:t>
      </w:r>
    </w:p>
    <w:p w14:paraId="6A9A457D" w14:textId="77777777" w:rsidR="00AC1396" w:rsidRPr="00500AA8" w:rsidRDefault="00AC1396" w:rsidP="00AC1396">
      <w:pPr>
        <w:spacing w:line="240" w:lineRule="auto"/>
        <w:rPr>
          <w:rFonts w:eastAsia="Roboto"/>
          <w:color w:val="000000" w:themeColor="text1"/>
          <w:sz w:val="20"/>
          <w:szCs w:val="20"/>
          <w:lang w:val="en-US"/>
        </w:rPr>
      </w:pPr>
    </w:p>
  </w:footnote>
  <w:footnote w:id="5">
    <w:p w14:paraId="3B68CE90" w14:textId="77777777" w:rsidR="00AC1396" w:rsidRPr="00500AA8" w:rsidRDefault="00AC1396" w:rsidP="00AC1396">
      <w:pPr>
        <w:spacing w:line="240" w:lineRule="auto"/>
        <w:rPr>
          <w:rFonts w:eastAsia="Roboto"/>
          <w:color w:val="000000" w:themeColor="text1"/>
          <w:sz w:val="20"/>
          <w:szCs w:val="20"/>
          <w:lang w:val="en-US"/>
        </w:rPr>
      </w:pPr>
      <w:r w:rsidRPr="00500AA8">
        <w:rPr>
          <w:color w:val="000000" w:themeColor="text1"/>
          <w:sz w:val="20"/>
          <w:szCs w:val="20"/>
          <w:vertAlign w:val="superscript"/>
        </w:rPr>
        <w:footnoteRef/>
      </w:r>
      <w:r w:rsidRPr="00500AA8">
        <w:rPr>
          <w:color w:val="000000" w:themeColor="text1"/>
          <w:sz w:val="20"/>
          <w:szCs w:val="20"/>
          <w:lang w:val="en-US"/>
        </w:rPr>
        <w:t xml:space="preserve"> </w:t>
      </w:r>
      <w:r w:rsidRPr="00500AA8">
        <w:rPr>
          <w:rFonts w:eastAsia="Roboto"/>
          <w:color w:val="000000" w:themeColor="text1"/>
          <w:sz w:val="20"/>
          <w:szCs w:val="20"/>
          <w:lang w:val="en-US"/>
        </w:rPr>
        <w:t xml:space="preserve">UNESCO, Education for Human Rights and Democratic Citizenship. </w:t>
      </w:r>
    </w:p>
    <w:p w14:paraId="3EC93158" w14:textId="77777777" w:rsidR="00AC1396" w:rsidRPr="00500AA8" w:rsidRDefault="00AC1396" w:rsidP="00AC1396">
      <w:pPr>
        <w:spacing w:line="240" w:lineRule="auto"/>
        <w:rPr>
          <w:color w:val="000000" w:themeColor="text1"/>
          <w:sz w:val="20"/>
          <w:szCs w:val="20"/>
          <w:lang w:val="en-US"/>
        </w:rPr>
      </w:pPr>
      <w:r w:rsidRPr="00500AA8">
        <w:rPr>
          <w:rFonts w:eastAsia="Roboto"/>
          <w:color w:val="000000" w:themeColor="text1"/>
          <w:sz w:val="20"/>
          <w:szCs w:val="20"/>
          <w:lang w:val="en-US"/>
        </w:rPr>
        <w:t xml:space="preserve">  Council of Europe, Reference Framework of Competences for Democratic Culture. </w:t>
      </w:r>
    </w:p>
  </w:footnote>
  <w:footnote w:id="6">
    <w:p w14:paraId="4776DE4D" w14:textId="77777777" w:rsidR="00AC1396" w:rsidRPr="00500AA8" w:rsidRDefault="00AC1396" w:rsidP="00AC1396">
      <w:pPr>
        <w:spacing w:line="240" w:lineRule="auto"/>
        <w:rPr>
          <w:rFonts w:eastAsia="Roboto"/>
          <w:color w:val="000000" w:themeColor="text1"/>
          <w:sz w:val="20"/>
          <w:szCs w:val="20"/>
          <w:lang w:val="en-US"/>
        </w:rPr>
      </w:pPr>
      <w:r w:rsidRPr="00500AA8">
        <w:rPr>
          <w:color w:val="000000" w:themeColor="text1"/>
          <w:sz w:val="20"/>
          <w:szCs w:val="20"/>
          <w:vertAlign w:val="superscript"/>
        </w:rPr>
        <w:footnoteRef/>
      </w:r>
      <w:r w:rsidRPr="00500AA8">
        <w:rPr>
          <w:color w:val="000000" w:themeColor="text1"/>
          <w:sz w:val="20"/>
          <w:szCs w:val="20"/>
          <w:lang w:val="en-US"/>
        </w:rPr>
        <w:t xml:space="preserve"> </w:t>
      </w:r>
      <w:r w:rsidRPr="00500AA8">
        <w:rPr>
          <w:rFonts w:eastAsia="Roboto"/>
          <w:color w:val="000000" w:themeColor="text1"/>
          <w:sz w:val="20"/>
          <w:szCs w:val="20"/>
          <w:lang w:val="en-US"/>
        </w:rPr>
        <w:t>Hannam, 2018.</w:t>
      </w:r>
    </w:p>
    <w:p w14:paraId="363B07F0" w14:textId="77777777" w:rsidR="00AC1396" w:rsidRPr="00F47A54" w:rsidRDefault="00AC1396" w:rsidP="00AC1396">
      <w:pPr>
        <w:spacing w:line="240" w:lineRule="auto"/>
        <w:rPr>
          <w:rFonts w:ascii="Roboto" w:eastAsia="Roboto" w:hAnsi="Roboto" w:cs="Roboto"/>
          <w:color w:val="444746"/>
          <w:sz w:val="21"/>
          <w:szCs w:val="21"/>
          <w:lang w:val="en-US"/>
        </w:rPr>
      </w:pPr>
      <w:r>
        <w:rPr>
          <w:rFonts w:eastAsia="Roboto"/>
          <w:color w:val="000000" w:themeColor="text1"/>
          <w:sz w:val="20"/>
          <w:szCs w:val="20"/>
          <w:highlight w:val="white"/>
          <w:lang w:val="en-US"/>
        </w:rPr>
        <w:t xml:space="preserve">  </w:t>
      </w:r>
      <w:r w:rsidRPr="00500AA8">
        <w:rPr>
          <w:rFonts w:eastAsia="Roboto"/>
          <w:color w:val="000000" w:themeColor="text1"/>
          <w:sz w:val="20"/>
          <w:szCs w:val="20"/>
          <w:highlight w:val="white"/>
          <w:lang w:val="en-US"/>
        </w:rPr>
        <w:t>Brookhouser, 2016.</w:t>
      </w:r>
    </w:p>
  </w:footnote>
  <w:footnote w:id="7">
    <w:p w14:paraId="11AC6578" w14:textId="77777777" w:rsidR="00AC1396" w:rsidRPr="00500AA8" w:rsidRDefault="00AC1396" w:rsidP="00AC1396">
      <w:pPr>
        <w:spacing w:line="240" w:lineRule="auto"/>
        <w:rPr>
          <w:rFonts w:eastAsia="Roboto"/>
          <w:color w:val="000000" w:themeColor="text1"/>
          <w:sz w:val="20"/>
          <w:szCs w:val="20"/>
          <w:highlight w:val="white"/>
          <w:lang w:val="en-US"/>
        </w:rPr>
      </w:pPr>
      <w:r w:rsidRPr="00500AA8">
        <w:rPr>
          <w:color w:val="000000" w:themeColor="text1"/>
          <w:sz w:val="20"/>
          <w:szCs w:val="20"/>
          <w:vertAlign w:val="superscript"/>
        </w:rPr>
        <w:footnoteRef/>
      </w:r>
      <w:r w:rsidRPr="00500AA8">
        <w:rPr>
          <w:color w:val="000000" w:themeColor="text1"/>
          <w:sz w:val="20"/>
          <w:szCs w:val="20"/>
          <w:lang w:val="en-US"/>
        </w:rPr>
        <w:t xml:space="preserve"> </w:t>
      </w:r>
      <w:r w:rsidRPr="00500AA8">
        <w:rPr>
          <w:rFonts w:eastAsia="Roboto"/>
          <w:color w:val="000000" w:themeColor="text1"/>
          <w:sz w:val="20"/>
          <w:szCs w:val="20"/>
          <w:highlight w:val="white"/>
          <w:lang w:val="en-US"/>
        </w:rPr>
        <w:t>Deci, 2017.</w:t>
      </w:r>
    </w:p>
    <w:p w14:paraId="1DBD79EC" w14:textId="77777777" w:rsidR="00AC1396" w:rsidRPr="00500AA8" w:rsidRDefault="00AC1396" w:rsidP="00AC1396">
      <w:pPr>
        <w:spacing w:line="240" w:lineRule="auto"/>
        <w:rPr>
          <w:rFonts w:eastAsia="Roboto"/>
          <w:color w:val="000000" w:themeColor="text1"/>
          <w:sz w:val="20"/>
          <w:szCs w:val="20"/>
          <w:highlight w:val="white"/>
          <w:lang w:val="en-US"/>
        </w:rPr>
      </w:pPr>
      <w:r>
        <w:rPr>
          <w:rFonts w:eastAsia="Roboto"/>
          <w:color w:val="000000" w:themeColor="text1"/>
          <w:sz w:val="20"/>
          <w:szCs w:val="20"/>
          <w:highlight w:val="white"/>
          <w:lang w:val="en-US"/>
        </w:rPr>
        <w:t xml:space="preserve">  </w:t>
      </w:r>
      <w:r w:rsidRPr="00500AA8">
        <w:rPr>
          <w:rFonts w:eastAsia="Roboto"/>
          <w:color w:val="000000" w:themeColor="text1"/>
          <w:sz w:val="20"/>
          <w:szCs w:val="20"/>
          <w:highlight w:val="white"/>
          <w:lang w:val="en-US"/>
        </w:rPr>
        <w:t>Gray, 2013.</w:t>
      </w:r>
    </w:p>
    <w:p w14:paraId="08FB1799" w14:textId="77777777" w:rsidR="00AC1396" w:rsidRPr="00500AA8" w:rsidRDefault="00AC1396" w:rsidP="00AC1396">
      <w:pPr>
        <w:spacing w:line="240" w:lineRule="auto"/>
        <w:rPr>
          <w:rFonts w:eastAsia="Roboto"/>
          <w:color w:val="000000" w:themeColor="text1"/>
          <w:sz w:val="20"/>
          <w:szCs w:val="20"/>
          <w:highlight w:val="white"/>
          <w:lang w:val="en-US"/>
        </w:rPr>
      </w:pPr>
      <w:r>
        <w:rPr>
          <w:rFonts w:eastAsia="Roboto"/>
          <w:color w:val="000000" w:themeColor="text1"/>
          <w:sz w:val="20"/>
          <w:szCs w:val="20"/>
          <w:highlight w:val="white"/>
          <w:lang w:val="en-US"/>
        </w:rPr>
        <w:t xml:space="preserve">  </w:t>
      </w:r>
      <w:r w:rsidRPr="00500AA8">
        <w:rPr>
          <w:rFonts w:eastAsia="Roboto"/>
          <w:color w:val="000000" w:themeColor="text1"/>
          <w:sz w:val="20"/>
          <w:szCs w:val="20"/>
          <w:highlight w:val="white"/>
          <w:lang w:val="en-US"/>
        </w:rPr>
        <w:t>Hart, 1992.</w:t>
      </w:r>
    </w:p>
    <w:p w14:paraId="23C4F94A" w14:textId="77777777" w:rsidR="00AC1396" w:rsidRPr="00F47A54" w:rsidRDefault="00AC1396" w:rsidP="00AC1396">
      <w:pPr>
        <w:spacing w:line="240" w:lineRule="auto"/>
        <w:rPr>
          <w:rFonts w:ascii="Roboto" w:eastAsia="Roboto" w:hAnsi="Roboto" w:cs="Roboto"/>
          <w:color w:val="444746"/>
          <w:sz w:val="21"/>
          <w:szCs w:val="21"/>
          <w:highlight w:val="white"/>
          <w:lang w:val="en-US"/>
        </w:rPr>
      </w:pPr>
    </w:p>
  </w:footnote>
  <w:footnote w:id="8">
    <w:p w14:paraId="569C41E8" w14:textId="77777777" w:rsidR="00AC1396" w:rsidRPr="00500AA8" w:rsidRDefault="00AC1396" w:rsidP="00AC1396">
      <w:pPr>
        <w:spacing w:line="240" w:lineRule="auto"/>
        <w:rPr>
          <w:rFonts w:eastAsia="Roboto"/>
          <w:color w:val="000000" w:themeColor="text1"/>
          <w:sz w:val="20"/>
          <w:szCs w:val="20"/>
          <w:highlight w:val="white"/>
        </w:rPr>
      </w:pPr>
      <w:r w:rsidRPr="00500AA8">
        <w:rPr>
          <w:color w:val="000000" w:themeColor="text1"/>
          <w:sz w:val="20"/>
          <w:szCs w:val="20"/>
          <w:vertAlign w:val="superscript"/>
        </w:rPr>
        <w:footnoteRef/>
      </w:r>
      <w:r w:rsidRPr="00500AA8">
        <w:rPr>
          <w:color w:val="000000" w:themeColor="text1"/>
          <w:sz w:val="20"/>
          <w:szCs w:val="20"/>
        </w:rPr>
        <w:t xml:space="preserve"> </w:t>
      </w:r>
      <w:r w:rsidRPr="00500AA8">
        <w:rPr>
          <w:rFonts w:eastAsia="Roboto"/>
          <w:color w:val="000000" w:themeColor="text1"/>
          <w:sz w:val="20"/>
          <w:szCs w:val="20"/>
          <w:highlight w:val="white"/>
        </w:rPr>
        <w:t>Smit &amp; Engeli, 2015.</w:t>
      </w:r>
    </w:p>
    <w:p w14:paraId="439939B2" w14:textId="77777777" w:rsidR="00AC1396" w:rsidRDefault="00AC1396" w:rsidP="00AC1396">
      <w:pPr>
        <w:spacing w:line="240" w:lineRule="auto"/>
        <w:rPr>
          <w:sz w:val="20"/>
          <w:szCs w:val="20"/>
        </w:rPr>
      </w:pPr>
      <w:r>
        <w:rPr>
          <w:rFonts w:eastAsia="Roboto"/>
          <w:color w:val="000000" w:themeColor="text1"/>
          <w:sz w:val="20"/>
          <w:szCs w:val="20"/>
          <w:highlight w:val="white"/>
        </w:rPr>
        <w:t xml:space="preserve">  </w:t>
      </w:r>
      <w:r w:rsidRPr="00500AA8">
        <w:rPr>
          <w:rFonts w:eastAsia="Roboto"/>
          <w:color w:val="000000" w:themeColor="text1"/>
          <w:sz w:val="20"/>
          <w:szCs w:val="20"/>
          <w:highlight w:val="white"/>
        </w:rPr>
        <w:t>Roberts &amp; Eady, 2011.</w:t>
      </w:r>
      <w:r w:rsidRPr="00500AA8">
        <w:rPr>
          <w:rFonts w:ascii="Roboto" w:eastAsia="Roboto" w:hAnsi="Roboto" w:cs="Roboto"/>
          <w:color w:val="000000" w:themeColor="text1"/>
          <w:sz w:val="21"/>
          <w:szCs w:val="21"/>
          <w:highlight w:val="white"/>
        </w:rPr>
        <w:t xml:space="preserve"> </w:t>
      </w:r>
    </w:p>
  </w:footnote>
  <w:footnote w:id="9">
    <w:p w14:paraId="68474863" w14:textId="77777777" w:rsidR="00AC1396" w:rsidRPr="00500AA8" w:rsidRDefault="00AC1396" w:rsidP="00AC1396">
      <w:pPr>
        <w:spacing w:line="240" w:lineRule="auto"/>
        <w:rPr>
          <w:rFonts w:eastAsia="Roboto"/>
          <w:color w:val="000000" w:themeColor="text1"/>
          <w:sz w:val="20"/>
          <w:szCs w:val="20"/>
          <w:highlight w:val="white"/>
        </w:rPr>
      </w:pPr>
      <w:r w:rsidRPr="00500AA8">
        <w:rPr>
          <w:color w:val="000000" w:themeColor="text1"/>
          <w:sz w:val="20"/>
          <w:szCs w:val="20"/>
          <w:vertAlign w:val="superscript"/>
        </w:rPr>
        <w:footnoteRef/>
      </w:r>
      <w:r w:rsidRPr="00500AA8">
        <w:rPr>
          <w:color w:val="000000" w:themeColor="text1"/>
          <w:sz w:val="20"/>
          <w:szCs w:val="20"/>
        </w:rPr>
        <w:t xml:space="preserve"> </w:t>
      </w:r>
      <w:r w:rsidRPr="00500AA8">
        <w:rPr>
          <w:rFonts w:eastAsia="Roboto"/>
          <w:color w:val="000000" w:themeColor="text1"/>
          <w:sz w:val="20"/>
          <w:szCs w:val="20"/>
          <w:highlight w:val="white"/>
        </w:rPr>
        <w:t>Högberg &amp; Horn, 2022.</w:t>
      </w:r>
    </w:p>
    <w:p w14:paraId="11B0FF4B" w14:textId="77777777" w:rsidR="00AC1396" w:rsidRPr="00500AA8" w:rsidRDefault="00AC1396" w:rsidP="00AC1396">
      <w:pPr>
        <w:spacing w:line="240" w:lineRule="auto"/>
        <w:rPr>
          <w:rFonts w:eastAsia="Roboto"/>
          <w:color w:val="000000" w:themeColor="text1"/>
          <w:sz w:val="20"/>
          <w:szCs w:val="20"/>
          <w:highlight w:val="white"/>
        </w:rPr>
      </w:pPr>
      <w:r>
        <w:rPr>
          <w:rFonts w:eastAsia="Roboto"/>
          <w:color w:val="000000" w:themeColor="text1"/>
          <w:sz w:val="20"/>
          <w:szCs w:val="20"/>
          <w:highlight w:val="white"/>
        </w:rPr>
        <w:t xml:space="preserve">  </w:t>
      </w:r>
      <w:r w:rsidRPr="00500AA8">
        <w:rPr>
          <w:rFonts w:eastAsia="Roboto"/>
          <w:color w:val="000000" w:themeColor="text1"/>
          <w:sz w:val="20"/>
          <w:szCs w:val="20"/>
          <w:highlight w:val="white"/>
        </w:rPr>
        <w:t>Harlen &amp; Deakin, 2002.</w:t>
      </w:r>
    </w:p>
    <w:p w14:paraId="4E3EA75A" w14:textId="77777777" w:rsidR="00AC1396" w:rsidRPr="00500AA8" w:rsidRDefault="00AC1396" w:rsidP="00AC1396">
      <w:pPr>
        <w:spacing w:line="240" w:lineRule="auto"/>
        <w:rPr>
          <w:color w:val="000000" w:themeColor="text1"/>
          <w:sz w:val="20"/>
          <w:szCs w:val="20"/>
        </w:rPr>
      </w:pPr>
    </w:p>
    <w:p w14:paraId="54A70FFF" w14:textId="77777777" w:rsidR="00AC1396" w:rsidRDefault="00AC1396" w:rsidP="00AC1396">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96"/>
    <w:rsid w:val="002E0391"/>
    <w:rsid w:val="00427931"/>
    <w:rsid w:val="004908F8"/>
    <w:rsid w:val="00984F85"/>
    <w:rsid w:val="00991F3B"/>
    <w:rsid w:val="00AA004E"/>
    <w:rsid w:val="00AC1396"/>
    <w:rsid w:val="00B930E2"/>
    <w:rsid w:val="00E91761"/>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50D71849"/>
  <w15:chartTrackingRefBased/>
  <w15:docId w15:val="{1084645C-5CB9-DC42-866E-479BBACA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K" w:eastAsia="en-US"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96"/>
    <w:pPr>
      <w:spacing w:line="276" w:lineRule="auto"/>
    </w:pPr>
    <w:rPr>
      <w:rFonts w:ascii="Arial" w:eastAsia="Arial" w:hAnsi="Arial" w:cs="Arial"/>
      <w:kern w:val="0"/>
      <w:sz w:val="22"/>
      <w:szCs w:val="22"/>
      <w:lang w:val="de" w:eastAsia="de-DE" w:bidi="ar-SA"/>
      <w14:ligatures w14:val="none"/>
    </w:rPr>
  </w:style>
  <w:style w:type="paragraph" w:styleId="Heading1">
    <w:name w:val="heading 1"/>
    <w:basedOn w:val="Normal"/>
    <w:next w:val="Normal"/>
    <w:link w:val="Heading1Char"/>
    <w:uiPriority w:val="9"/>
    <w:qFormat/>
    <w:rsid w:val="00AC1396"/>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LK" w:eastAsia="en-US" w:bidi="si-LK"/>
      <w14:ligatures w14:val="standardContextual"/>
    </w:rPr>
  </w:style>
  <w:style w:type="paragraph" w:styleId="Heading2">
    <w:name w:val="heading 2"/>
    <w:basedOn w:val="Normal"/>
    <w:next w:val="Normal"/>
    <w:link w:val="Heading2Char"/>
    <w:uiPriority w:val="9"/>
    <w:unhideWhenUsed/>
    <w:qFormat/>
    <w:rsid w:val="00AC1396"/>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LK" w:eastAsia="en-US" w:bidi="si-LK"/>
      <w14:ligatures w14:val="standardContextual"/>
    </w:rPr>
  </w:style>
  <w:style w:type="paragraph" w:styleId="Heading3">
    <w:name w:val="heading 3"/>
    <w:basedOn w:val="Normal"/>
    <w:next w:val="Normal"/>
    <w:link w:val="Heading3Char"/>
    <w:uiPriority w:val="9"/>
    <w:unhideWhenUsed/>
    <w:qFormat/>
    <w:rsid w:val="00AC1396"/>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LK" w:eastAsia="en-US" w:bidi="si-LK"/>
      <w14:ligatures w14:val="standardContextual"/>
    </w:rPr>
  </w:style>
  <w:style w:type="paragraph" w:styleId="Heading4">
    <w:name w:val="heading 4"/>
    <w:basedOn w:val="Normal"/>
    <w:next w:val="Normal"/>
    <w:link w:val="Heading4Char"/>
    <w:uiPriority w:val="9"/>
    <w:unhideWhenUsed/>
    <w:qFormat/>
    <w:rsid w:val="00AC1396"/>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en-LK" w:eastAsia="en-US" w:bidi="si-LK"/>
      <w14:ligatures w14:val="standardContextual"/>
    </w:rPr>
  </w:style>
  <w:style w:type="paragraph" w:styleId="Heading5">
    <w:name w:val="heading 5"/>
    <w:basedOn w:val="Normal"/>
    <w:next w:val="Normal"/>
    <w:link w:val="Heading5Char"/>
    <w:uiPriority w:val="9"/>
    <w:semiHidden/>
    <w:unhideWhenUsed/>
    <w:qFormat/>
    <w:rsid w:val="00AC1396"/>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en-LK" w:eastAsia="en-US" w:bidi="si-LK"/>
      <w14:ligatures w14:val="standardContextual"/>
    </w:rPr>
  </w:style>
  <w:style w:type="paragraph" w:styleId="Heading6">
    <w:name w:val="heading 6"/>
    <w:basedOn w:val="Normal"/>
    <w:next w:val="Normal"/>
    <w:link w:val="Heading6Char"/>
    <w:uiPriority w:val="9"/>
    <w:semiHidden/>
    <w:unhideWhenUsed/>
    <w:qFormat/>
    <w:rsid w:val="00AC1396"/>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LK" w:eastAsia="en-US" w:bidi="si-LK"/>
      <w14:ligatures w14:val="standardContextual"/>
    </w:rPr>
  </w:style>
  <w:style w:type="paragraph" w:styleId="Heading7">
    <w:name w:val="heading 7"/>
    <w:basedOn w:val="Normal"/>
    <w:next w:val="Normal"/>
    <w:link w:val="Heading7Char"/>
    <w:uiPriority w:val="9"/>
    <w:semiHidden/>
    <w:unhideWhenUsed/>
    <w:qFormat/>
    <w:rsid w:val="00AC1396"/>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LK" w:eastAsia="en-US" w:bidi="si-LK"/>
      <w14:ligatures w14:val="standardContextual"/>
    </w:rPr>
  </w:style>
  <w:style w:type="paragraph" w:styleId="Heading8">
    <w:name w:val="heading 8"/>
    <w:basedOn w:val="Normal"/>
    <w:next w:val="Normal"/>
    <w:link w:val="Heading8Char"/>
    <w:uiPriority w:val="9"/>
    <w:semiHidden/>
    <w:unhideWhenUsed/>
    <w:qFormat/>
    <w:rsid w:val="00AC1396"/>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LK" w:eastAsia="en-US" w:bidi="si-LK"/>
      <w14:ligatures w14:val="standardContextual"/>
    </w:rPr>
  </w:style>
  <w:style w:type="paragraph" w:styleId="Heading9">
    <w:name w:val="heading 9"/>
    <w:basedOn w:val="Normal"/>
    <w:next w:val="Normal"/>
    <w:link w:val="Heading9Char"/>
    <w:uiPriority w:val="9"/>
    <w:semiHidden/>
    <w:unhideWhenUsed/>
    <w:qFormat/>
    <w:rsid w:val="00AC1396"/>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LK" w:eastAsia="en-US" w:bidi="si-L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qFormat/>
    <w:rsid w:val="00B930E2"/>
    <w:pPr>
      <w:spacing w:after="120"/>
      <w:jc w:val="both"/>
    </w:pPr>
    <w:rPr>
      <w:rFonts w:ascii="Times New Roman" w:eastAsiaTheme="minorHAnsi" w:hAnsi="Times New Roman" w:cs="Times New Roman"/>
      <w:kern w:val="2"/>
      <w:sz w:val="24"/>
      <w:szCs w:val="24"/>
      <w:lang w:val="en-US" w:eastAsia="en-GB" w:bidi="si-LK"/>
      <w14:ligatures w14:val="standardContextual"/>
    </w:rPr>
  </w:style>
  <w:style w:type="paragraph" w:customStyle="1" w:styleId="AppendixQuote">
    <w:name w:val="Appendix Quote"/>
    <w:basedOn w:val="Quote"/>
    <w:qFormat/>
    <w:rsid w:val="00B930E2"/>
    <w:pPr>
      <w:shd w:val="clear" w:color="auto" w:fill="D9D9D9" w:themeFill="background1" w:themeFillShade="D9"/>
      <w:spacing w:before="0" w:line="276" w:lineRule="auto"/>
      <w:ind w:left="426" w:right="95"/>
      <w:jc w:val="both"/>
    </w:pPr>
    <w:rPr>
      <w:rFonts w:ascii="Times New Roman" w:hAnsi="Times New Roman" w:cs="Times New Roman"/>
      <w:lang w:eastAsia="en-GB"/>
    </w:rPr>
  </w:style>
  <w:style w:type="paragraph" w:styleId="Quote">
    <w:name w:val="Quote"/>
    <w:basedOn w:val="Normal"/>
    <w:next w:val="Normal"/>
    <w:link w:val="QuoteChar"/>
    <w:uiPriority w:val="29"/>
    <w:qFormat/>
    <w:rsid w:val="00B930E2"/>
    <w:pPr>
      <w:spacing w:before="160" w:after="160" w:line="240" w:lineRule="auto"/>
      <w:jc w:val="center"/>
    </w:pPr>
    <w:rPr>
      <w:rFonts w:asciiTheme="minorHAnsi" w:eastAsiaTheme="minorHAnsi" w:hAnsiTheme="minorHAnsi" w:cs="Arial Unicode MS"/>
      <w:i/>
      <w:iCs/>
      <w:color w:val="404040" w:themeColor="text1" w:themeTint="BF"/>
      <w:kern w:val="2"/>
      <w:sz w:val="24"/>
      <w:szCs w:val="24"/>
      <w:lang w:val="en-LK" w:eastAsia="en-US" w:bidi="si-LK"/>
      <w14:ligatures w14:val="standardContextual"/>
    </w:rPr>
  </w:style>
  <w:style w:type="character" w:customStyle="1" w:styleId="QuoteChar">
    <w:name w:val="Quote Char"/>
    <w:basedOn w:val="DefaultParagraphFont"/>
    <w:link w:val="Quote"/>
    <w:uiPriority w:val="29"/>
    <w:rsid w:val="00B930E2"/>
    <w:rPr>
      <w:rFonts w:cs="Arial Unicode MS"/>
      <w:i/>
      <w:iCs/>
      <w:color w:val="404040" w:themeColor="text1" w:themeTint="BF"/>
    </w:rPr>
  </w:style>
  <w:style w:type="character" w:customStyle="1" w:styleId="Heading1Char">
    <w:name w:val="Heading 1 Char"/>
    <w:basedOn w:val="DefaultParagraphFont"/>
    <w:link w:val="Heading1"/>
    <w:uiPriority w:val="9"/>
    <w:rsid w:val="00AC13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3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3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3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3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96"/>
    <w:rPr>
      <w:rFonts w:eastAsiaTheme="majorEastAsia" w:cstheme="majorBidi"/>
      <w:color w:val="272727" w:themeColor="text1" w:themeTint="D8"/>
    </w:rPr>
  </w:style>
  <w:style w:type="paragraph" w:styleId="Title">
    <w:name w:val="Title"/>
    <w:basedOn w:val="Normal"/>
    <w:next w:val="Normal"/>
    <w:link w:val="TitleChar"/>
    <w:uiPriority w:val="10"/>
    <w:qFormat/>
    <w:rsid w:val="00AC1396"/>
    <w:pPr>
      <w:spacing w:after="80" w:line="240" w:lineRule="auto"/>
      <w:contextualSpacing/>
    </w:pPr>
    <w:rPr>
      <w:rFonts w:asciiTheme="majorHAnsi" w:eastAsiaTheme="majorEastAsia" w:hAnsiTheme="majorHAnsi" w:cstheme="majorBidi"/>
      <w:spacing w:val="-10"/>
      <w:kern w:val="28"/>
      <w:sz w:val="56"/>
      <w:szCs w:val="56"/>
      <w:lang w:val="en-LK" w:eastAsia="en-US" w:bidi="si-LK"/>
      <w14:ligatures w14:val="standardContextual"/>
    </w:rPr>
  </w:style>
  <w:style w:type="character" w:customStyle="1" w:styleId="TitleChar">
    <w:name w:val="Title Char"/>
    <w:basedOn w:val="DefaultParagraphFont"/>
    <w:link w:val="Title"/>
    <w:uiPriority w:val="10"/>
    <w:rsid w:val="00AC1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96"/>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LK" w:eastAsia="en-US" w:bidi="si-LK"/>
      <w14:ligatures w14:val="standardContextual"/>
    </w:rPr>
  </w:style>
  <w:style w:type="character" w:customStyle="1" w:styleId="SubtitleChar">
    <w:name w:val="Subtitle Char"/>
    <w:basedOn w:val="DefaultParagraphFont"/>
    <w:link w:val="Subtitle"/>
    <w:uiPriority w:val="11"/>
    <w:rsid w:val="00AC139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C1396"/>
    <w:pPr>
      <w:spacing w:line="240" w:lineRule="auto"/>
      <w:ind w:left="720"/>
      <w:contextualSpacing/>
    </w:pPr>
    <w:rPr>
      <w:rFonts w:asciiTheme="minorHAnsi" w:eastAsiaTheme="minorHAnsi" w:hAnsiTheme="minorHAnsi" w:cs="Arial Unicode MS"/>
      <w:kern w:val="2"/>
      <w:sz w:val="24"/>
      <w:szCs w:val="24"/>
      <w:lang w:val="en-LK" w:eastAsia="en-US" w:bidi="si-LK"/>
      <w14:ligatures w14:val="standardContextual"/>
    </w:rPr>
  </w:style>
  <w:style w:type="character" w:styleId="IntenseEmphasis">
    <w:name w:val="Intense Emphasis"/>
    <w:basedOn w:val="DefaultParagraphFont"/>
    <w:uiPriority w:val="21"/>
    <w:qFormat/>
    <w:rsid w:val="00AC1396"/>
    <w:rPr>
      <w:i/>
      <w:iCs/>
      <w:color w:val="2F5496" w:themeColor="accent1" w:themeShade="BF"/>
    </w:rPr>
  </w:style>
  <w:style w:type="paragraph" w:styleId="IntenseQuote">
    <w:name w:val="Intense Quote"/>
    <w:basedOn w:val="Normal"/>
    <w:next w:val="Normal"/>
    <w:link w:val="IntenseQuoteChar"/>
    <w:uiPriority w:val="30"/>
    <w:qFormat/>
    <w:rsid w:val="00AC139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Arial Unicode MS"/>
      <w:i/>
      <w:iCs/>
      <w:color w:val="2F5496" w:themeColor="accent1" w:themeShade="BF"/>
      <w:kern w:val="2"/>
      <w:sz w:val="24"/>
      <w:szCs w:val="24"/>
      <w:lang w:val="en-LK" w:eastAsia="en-US" w:bidi="si-LK"/>
      <w14:ligatures w14:val="standardContextual"/>
    </w:rPr>
  </w:style>
  <w:style w:type="character" w:customStyle="1" w:styleId="IntenseQuoteChar">
    <w:name w:val="Intense Quote Char"/>
    <w:basedOn w:val="DefaultParagraphFont"/>
    <w:link w:val="IntenseQuote"/>
    <w:uiPriority w:val="30"/>
    <w:rsid w:val="00AC1396"/>
    <w:rPr>
      <w:rFonts w:cs="Arial Unicode MS"/>
      <w:i/>
      <w:iCs/>
      <w:color w:val="2F5496" w:themeColor="accent1" w:themeShade="BF"/>
    </w:rPr>
  </w:style>
  <w:style w:type="character" w:styleId="IntenseReference">
    <w:name w:val="Intense Reference"/>
    <w:basedOn w:val="DefaultParagraphFont"/>
    <w:uiPriority w:val="32"/>
    <w:qFormat/>
    <w:rsid w:val="00AC1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3848</Words>
  <Characters>21938</Characters>
  <Application>Microsoft Office Word</Application>
  <DocSecurity>0</DocSecurity>
  <Lines>182</Lines>
  <Paragraphs>51</Paragraphs>
  <ScaleCrop>false</ScaleCrop>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Sifaan Zavahir</dc:creator>
  <cp:keywords/>
  <dc:description/>
  <cp:lastModifiedBy>Sifaan Zavahir</cp:lastModifiedBy>
  <cp:revision>1</cp:revision>
  <dcterms:created xsi:type="dcterms:W3CDTF">2026-02-02T15:09:00Z</dcterms:created>
  <dcterms:modified xsi:type="dcterms:W3CDTF">2026-02-02T15:09:00Z</dcterms:modified>
</cp:coreProperties>
</file>